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98A" w:rsidRPr="00B93BB8" w:rsidRDefault="0030698A" w:rsidP="0030698A">
      <w:pPr>
        <w:spacing w:line="240" w:lineRule="atLeast"/>
        <w:rPr>
          <w:rFonts w:cs="David"/>
          <w:b/>
          <w:bCs/>
          <w:sz w:val="22"/>
          <w:szCs w:val="22"/>
          <w:rtl/>
          <w:lang w:eastAsia="en-US"/>
        </w:rPr>
      </w:pPr>
      <w:r w:rsidRPr="00B93BB8">
        <w:rPr>
          <w:rFonts w:cs="David"/>
          <w:b/>
          <w:bCs/>
          <w:sz w:val="22"/>
          <w:szCs w:val="22"/>
          <w:rtl/>
          <w:lang w:eastAsia="en-US"/>
        </w:rPr>
        <w:t>ריכוז פרטיים כלליים על</w:t>
      </w:r>
      <w:r w:rsidRPr="00B93BB8">
        <w:rPr>
          <w:rFonts w:cs="David"/>
          <w:b/>
          <w:bCs/>
          <w:sz w:val="22"/>
          <w:szCs w:val="22"/>
          <w:lang w:eastAsia="en-US"/>
        </w:rPr>
        <w:t xml:space="preserve"> </w:t>
      </w:r>
      <w:r>
        <w:rPr>
          <w:rFonts w:cs="David" w:hint="cs"/>
          <w:b/>
          <w:bCs/>
          <w:sz w:val="22"/>
          <w:szCs w:val="22"/>
          <w:rtl/>
          <w:lang w:eastAsia="en-US"/>
        </w:rPr>
        <w:t xml:space="preserve">הכשרה לבני 50 ומטה* </w:t>
      </w:r>
      <w:r w:rsidRPr="00B93BB8">
        <w:rPr>
          <w:rFonts w:cs="David"/>
          <w:b/>
          <w:bCs/>
          <w:sz w:val="22"/>
          <w:szCs w:val="22"/>
          <w:rtl/>
          <w:lang w:eastAsia="en-US"/>
        </w:rPr>
        <w:t>: תשואות, דמי ניהול ונכסים לתקופת</w:t>
      </w:r>
      <w:r>
        <w:rPr>
          <w:rFonts w:cs="David" w:hint="cs"/>
          <w:b/>
          <w:bCs/>
          <w:sz w:val="22"/>
          <w:szCs w:val="22"/>
          <w:rtl/>
          <w:lang w:eastAsia="en-US"/>
        </w:rPr>
        <w:t xml:space="preserve"> </w:t>
      </w:r>
      <w:r w:rsidRPr="00B93BB8">
        <w:rPr>
          <w:rFonts w:cs="David"/>
          <w:b/>
          <w:bCs/>
          <w:sz w:val="22"/>
          <w:szCs w:val="22"/>
          <w:rtl/>
          <w:lang w:eastAsia="en-US"/>
        </w:rPr>
        <w:t xml:space="preserve">הדוח </w:t>
      </w:r>
    </w:p>
    <w:p w:rsidR="0030698A" w:rsidRDefault="0030698A" w:rsidP="005B19E8">
      <w:pPr>
        <w:spacing w:line="240" w:lineRule="atLeast"/>
        <w:jc w:val="center"/>
        <w:rPr>
          <w:rFonts w:cs="David"/>
          <w:b/>
          <w:bCs/>
          <w:sz w:val="24"/>
          <w:szCs w:val="24"/>
          <w:lang w:eastAsia="en-US"/>
        </w:rPr>
      </w:pPr>
      <w:r w:rsidRPr="005F61B6">
        <w:rPr>
          <w:rFonts w:cs="David"/>
          <w:b/>
          <w:bCs/>
          <w:sz w:val="24"/>
          <w:szCs w:val="24"/>
          <w:rtl/>
          <w:lang w:eastAsia="en-US"/>
        </w:rPr>
        <w:t>01.01.</w:t>
      </w:r>
      <w:r w:rsidR="005B19E8">
        <w:rPr>
          <w:rFonts w:cs="David" w:hint="cs"/>
          <w:b/>
          <w:bCs/>
          <w:sz w:val="24"/>
          <w:szCs w:val="24"/>
          <w:rtl/>
          <w:lang w:eastAsia="en-US"/>
        </w:rPr>
        <w:t>2020</w:t>
      </w:r>
      <w:r w:rsidRPr="005F61B6">
        <w:rPr>
          <w:rFonts w:cs="David"/>
          <w:b/>
          <w:bCs/>
          <w:sz w:val="24"/>
          <w:szCs w:val="24"/>
          <w:rtl/>
          <w:lang w:eastAsia="en-US"/>
        </w:rPr>
        <w:t>-31.12.</w:t>
      </w:r>
      <w:r w:rsidR="005B19E8">
        <w:rPr>
          <w:rFonts w:cs="David" w:hint="cs"/>
          <w:b/>
          <w:bCs/>
          <w:sz w:val="24"/>
          <w:szCs w:val="24"/>
          <w:rtl/>
          <w:lang w:eastAsia="en-US"/>
        </w:rPr>
        <w:t>2020</w:t>
      </w:r>
      <w:r w:rsidRPr="005F61B6">
        <w:rPr>
          <w:rFonts w:cs="David"/>
          <w:b/>
          <w:bCs/>
          <w:sz w:val="24"/>
          <w:szCs w:val="24"/>
          <w:lang w:eastAsia="en-US"/>
        </w:rPr>
        <w:t xml:space="preserve">        </w:t>
      </w:r>
    </w:p>
    <w:p w:rsidR="0030698A" w:rsidRPr="005F61B6" w:rsidRDefault="0030698A" w:rsidP="0030698A">
      <w:pPr>
        <w:spacing w:line="240" w:lineRule="atLeast"/>
        <w:jc w:val="center"/>
        <w:rPr>
          <w:rFonts w:cs="David"/>
          <w:b/>
          <w:bCs/>
          <w:sz w:val="24"/>
          <w:szCs w:val="24"/>
          <w:rtl/>
          <w:lang w:eastAsia="en-US"/>
        </w:rPr>
      </w:pPr>
      <w:r w:rsidRPr="005F61B6">
        <w:rPr>
          <w:rFonts w:cs="David"/>
          <w:b/>
          <w:bCs/>
          <w:sz w:val="24"/>
          <w:szCs w:val="24"/>
          <w:lang w:eastAsia="en-US"/>
        </w:rPr>
        <w:t xml:space="preserve">  </w:t>
      </w:r>
    </w:p>
    <w:tbl>
      <w:tblPr>
        <w:tblW w:w="0" w:type="auto"/>
        <w:tblInd w:w="534" w:type="dxa"/>
        <w:tblLayout w:type="fixed"/>
        <w:tblLook w:val="0000" w:firstRow="0" w:lastRow="0" w:firstColumn="0" w:lastColumn="0" w:noHBand="0" w:noVBand="0"/>
      </w:tblPr>
      <w:tblGrid>
        <w:gridCol w:w="1479"/>
        <w:gridCol w:w="6033"/>
      </w:tblGrid>
      <w:tr w:rsidR="0030698A" w:rsidRPr="004A2687" w:rsidTr="000757BB">
        <w:trPr>
          <w:trHeight w:val="278"/>
        </w:trPr>
        <w:tc>
          <w:tcPr>
            <w:tcW w:w="7512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30698A" w:rsidRPr="004A2687" w:rsidRDefault="0030698A" w:rsidP="000757BB">
            <w:pPr>
              <w:spacing w:line="240" w:lineRule="atLeast"/>
              <w:jc w:val="center"/>
              <w:rPr>
                <w:rFonts w:cs="David"/>
                <w:b/>
                <w:bCs/>
                <w:sz w:val="22"/>
                <w:szCs w:val="22"/>
                <w:rtl/>
                <w:lang w:eastAsia="en-US"/>
              </w:rPr>
            </w:pPr>
            <w:r w:rsidRPr="004A2687">
              <w:rPr>
                <w:rFonts w:cs="David"/>
                <w:b/>
                <w:bCs/>
                <w:sz w:val="22"/>
                <w:szCs w:val="22"/>
                <w:rtl/>
                <w:lang w:eastAsia="en-US"/>
              </w:rPr>
              <w:t>תשואה שהשיגה הקרן על נכסיה</w:t>
            </w:r>
          </w:p>
        </w:tc>
      </w:tr>
      <w:tr w:rsidR="0030698A" w:rsidRPr="004A2687" w:rsidTr="000757BB">
        <w:trPr>
          <w:trHeight w:val="278"/>
        </w:trPr>
        <w:tc>
          <w:tcPr>
            <w:tcW w:w="7512" w:type="dxa"/>
            <w:gridSpan w:val="2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698A" w:rsidRPr="004A2687" w:rsidRDefault="0030698A" w:rsidP="000757BB">
            <w:pPr>
              <w:spacing w:line="240" w:lineRule="atLeast"/>
              <w:jc w:val="center"/>
              <w:rPr>
                <w:rFonts w:cs="David"/>
                <w:b/>
                <w:bCs/>
                <w:sz w:val="22"/>
                <w:szCs w:val="22"/>
                <w:rtl/>
                <w:lang w:eastAsia="en-US"/>
              </w:rPr>
            </w:pPr>
            <w:r>
              <w:rPr>
                <w:rFonts w:cs="David"/>
                <w:b/>
                <w:bCs/>
                <w:sz w:val="22"/>
                <w:szCs w:val="22"/>
                <w:rtl/>
                <w:lang w:eastAsia="en-US"/>
              </w:rPr>
              <w:t xml:space="preserve"> </w:t>
            </w:r>
            <w:r w:rsidRPr="004A2687">
              <w:rPr>
                <w:rFonts w:cs="David"/>
                <w:b/>
                <w:bCs/>
                <w:sz w:val="22"/>
                <w:szCs w:val="22"/>
                <w:rtl/>
                <w:lang w:eastAsia="en-US"/>
              </w:rPr>
              <w:t>שיעור תשואה נומינלית</w:t>
            </w:r>
          </w:p>
        </w:tc>
      </w:tr>
      <w:tr w:rsidR="0030698A" w:rsidRPr="004A2687" w:rsidTr="000757BB">
        <w:trPr>
          <w:trHeight w:val="242"/>
        </w:trPr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698A" w:rsidRPr="00905040" w:rsidRDefault="005B19E8" w:rsidP="000757BB">
            <w:pPr>
              <w:jc w:val="center"/>
              <w:rPr>
                <w:rFonts w:cs="David"/>
                <w:sz w:val="22"/>
                <w:szCs w:val="22"/>
                <w:rtl/>
              </w:rPr>
            </w:pPr>
            <w:r>
              <w:rPr>
                <w:rFonts w:cs="David" w:hint="cs"/>
                <w:sz w:val="22"/>
                <w:szCs w:val="22"/>
                <w:rtl/>
              </w:rPr>
              <w:t>11.23</w:t>
            </w:r>
            <w:r w:rsidR="00BD7C4F">
              <w:rPr>
                <w:rFonts w:cs="David" w:hint="cs"/>
                <w:sz w:val="22"/>
                <w:szCs w:val="22"/>
                <w:rtl/>
              </w:rPr>
              <w:t>%</w:t>
            </w:r>
          </w:p>
        </w:tc>
        <w:tc>
          <w:tcPr>
            <w:tcW w:w="6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698A" w:rsidRPr="004A2687" w:rsidRDefault="0030698A" w:rsidP="000757BB">
            <w:pPr>
              <w:rPr>
                <w:rFonts w:cs="David"/>
                <w:sz w:val="22"/>
                <w:szCs w:val="22"/>
                <w:rtl/>
              </w:rPr>
            </w:pPr>
            <w:r w:rsidRPr="004A2687">
              <w:rPr>
                <w:rFonts w:cs="David"/>
                <w:sz w:val="22"/>
                <w:szCs w:val="22"/>
                <w:rtl/>
              </w:rPr>
              <w:t>שיעור תשואה נומינאלי לפני ניכוי דמי ניהול (ברוטו)</w:t>
            </w:r>
          </w:p>
        </w:tc>
      </w:tr>
      <w:tr w:rsidR="0030698A" w:rsidRPr="004A2687" w:rsidTr="000757BB">
        <w:trPr>
          <w:trHeight w:val="285"/>
        </w:trPr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698A" w:rsidRPr="00905040" w:rsidRDefault="005B19E8" w:rsidP="000757BB">
            <w:pPr>
              <w:jc w:val="center"/>
              <w:rPr>
                <w:rFonts w:cs="David"/>
                <w:sz w:val="22"/>
                <w:szCs w:val="22"/>
                <w:rtl/>
              </w:rPr>
            </w:pPr>
            <w:r>
              <w:rPr>
                <w:rFonts w:cs="David" w:hint="cs"/>
                <w:sz w:val="22"/>
                <w:szCs w:val="22"/>
                <w:rtl/>
              </w:rPr>
              <w:t>10.62</w:t>
            </w:r>
            <w:r w:rsidR="001C7749">
              <w:rPr>
                <w:rFonts w:cs="David" w:hint="cs"/>
                <w:sz w:val="22"/>
                <w:szCs w:val="22"/>
                <w:rtl/>
              </w:rPr>
              <w:t>%</w:t>
            </w:r>
          </w:p>
        </w:tc>
        <w:tc>
          <w:tcPr>
            <w:tcW w:w="6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698A" w:rsidRPr="004A2687" w:rsidRDefault="0030698A" w:rsidP="000757BB">
            <w:pPr>
              <w:rPr>
                <w:rFonts w:cs="David"/>
                <w:sz w:val="22"/>
                <w:szCs w:val="22"/>
                <w:rtl/>
              </w:rPr>
            </w:pPr>
            <w:r w:rsidRPr="004A2687">
              <w:rPr>
                <w:rFonts w:cs="David"/>
                <w:sz w:val="22"/>
                <w:szCs w:val="22"/>
                <w:rtl/>
              </w:rPr>
              <w:t>שיעור תשואה נומינאלי אחרי ניכוי דמי ניהול (נטו)</w:t>
            </w:r>
          </w:p>
        </w:tc>
      </w:tr>
      <w:tr w:rsidR="0030698A" w:rsidRPr="004A2687" w:rsidTr="000757BB">
        <w:trPr>
          <w:trHeight w:val="285"/>
        </w:trPr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698A" w:rsidRPr="00905040" w:rsidRDefault="005B19E8" w:rsidP="000757BB">
            <w:pPr>
              <w:jc w:val="center"/>
              <w:rPr>
                <w:rFonts w:cs="David"/>
                <w:sz w:val="22"/>
                <w:szCs w:val="22"/>
                <w:rtl/>
              </w:rPr>
            </w:pPr>
            <w:r>
              <w:rPr>
                <w:rFonts w:cs="David" w:hint="cs"/>
                <w:sz w:val="22"/>
                <w:szCs w:val="22"/>
                <w:rtl/>
              </w:rPr>
              <w:t>6.88%</w:t>
            </w:r>
          </w:p>
        </w:tc>
        <w:tc>
          <w:tcPr>
            <w:tcW w:w="6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698A" w:rsidRPr="004A2687" w:rsidRDefault="0030698A" w:rsidP="005B19E8">
            <w:pPr>
              <w:rPr>
                <w:rFonts w:cs="David"/>
                <w:sz w:val="22"/>
                <w:szCs w:val="22"/>
                <w:rtl/>
              </w:rPr>
            </w:pPr>
            <w:r w:rsidRPr="004A2687">
              <w:rPr>
                <w:rFonts w:cs="David"/>
                <w:sz w:val="22"/>
                <w:szCs w:val="22"/>
                <w:rtl/>
              </w:rPr>
              <w:t xml:space="preserve">ממוצע שנתי (ברוטו) לשנים: </w:t>
            </w:r>
            <w:r w:rsidR="005B19E8">
              <w:rPr>
                <w:rFonts w:cs="David" w:hint="cs"/>
                <w:sz w:val="22"/>
                <w:szCs w:val="22"/>
                <w:rtl/>
              </w:rPr>
              <w:t>2016</w:t>
            </w:r>
            <w:r>
              <w:rPr>
                <w:rFonts w:cs="David"/>
                <w:sz w:val="22"/>
                <w:szCs w:val="22"/>
                <w:rtl/>
              </w:rPr>
              <w:t>-</w:t>
            </w:r>
            <w:r w:rsidR="005B19E8">
              <w:rPr>
                <w:rFonts w:cs="David" w:hint="cs"/>
                <w:sz w:val="22"/>
                <w:szCs w:val="22"/>
                <w:rtl/>
              </w:rPr>
              <w:t>2020</w:t>
            </w:r>
          </w:p>
        </w:tc>
      </w:tr>
      <w:tr w:rsidR="0030698A" w:rsidRPr="004A2687" w:rsidTr="000757BB">
        <w:trPr>
          <w:trHeight w:val="285"/>
        </w:trPr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698A" w:rsidRPr="00AB6006" w:rsidRDefault="005B19E8" w:rsidP="000757BB">
            <w:pPr>
              <w:jc w:val="center"/>
              <w:rPr>
                <w:rFonts w:cs="David"/>
                <w:color w:val="000000" w:themeColor="text1"/>
                <w:sz w:val="22"/>
                <w:szCs w:val="22"/>
                <w:rtl/>
              </w:rPr>
            </w:pPr>
            <w:r>
              <w:rPr>
                <w:rFonts w:cs="David" w:hint="cs"/>
                <w:color w:val="000000" w:themeColor="text1"/>
                <w:sz w:val="22"/>
                <w:szCs w:val="22"/>
                <w:rtl/>
              </w:rPr>
              <w:t>0.6</w:t>
            </w:r>
            <w:r w:rsidR="00C1207E">
              <w:rPr>
                <w:rFonts w:cs="David" w:hint="cs"/>
                <w:color w:val="000000" w:themeColor="text1"/>
                <w:sz w:val="22"/>
                <w:szCs w:val="22"/>
                <w:rtl/>
              </w:rPr>
              <w:t>%</w:t>
            </w:r>
            <w:r>
              <w:rPr>
                <w:rFonts w:cs="David" w:hint="cs"/>
                <w:color w:val="000000" w:themeColor="text1"/>
                <w:sz w:val="22"/>
                <w:szCs w:val="22"/>
                <w:rtl/>
              </w:rPr>
              <w:t>-</w:t>
            </w:r>
          </w:p>
        </w:tc>
        <w:tc>
          <w:tcPr>
            <w:tcW w:w="6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698A" w:rsidRPr="004A2687" w:rsidRDefault="0030698A" w:rsidP="005B19E8">
            <w:pPr>
              <w:rPr>
                <w:rFonts w:cs="David"/>
                <w:sz w:val="22"/>
                <w:szCs w:val="22"/>
                <w:rtl/>
              </w:rPr>
            </w:pPr>
            <w:r w:rsidRPr="00814A80">
              <w:rPr>
                <w:rFonts w:cs="David"/>
                <w:sz w:val="22"/>
                <w:szCs w:val="22"/>
                <w:rtl/>
              </w:rPr>
              <w:t xml:space="preserve">שיעור </w:t>
            </w:r>
            <w:r w:rsidR="005B19E8">
              <w:rPr>
                <w:rFonts w:cs="David" w:hint="cs"/>
                <w:sz w:val="22"/>
                <w:szCs w:val="22"/>
                <w:rtl/>
              </w:rPr>
              <w:t>ירידת</w:t>
            </w:r>
            <w:r w:rsidRPr="00814A80">
              <w:rPr>
                <w:rFonts w:cs="David"/>
                <w:sz w:val="22"/>
                <w:szCs w:val="22"/>
                <w:rtl/>
              </w:rPr>
              <w:t xml:space="preserve"> המדד בשנת הדו"ח</w:t>
            </w:r>
          </w:p>
        </w:tc>
      </w:tr>
      <w:tr w:rsidR="0030698A" w:rsidRPr="004A2687" w:rsidTr="000757BB">
        <w:trPr>
          <w:trHeight w:val="285"/>
        </w:trPr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698A" w:rsidRPr="00AB6006" w:rsidRDefault="005B19E8" w:rsidP="008C1BCB">
            <w:pPr>
              <w:jc w:val="center"/>
              <w:rPr>
                <w:rFonts w:cs="David"/>
                <w:color w:val="000000" w:themeColor="text1"/>
                <w:sz w:val="22"/>
                <w:szCs w:val="22"/>
                <w:rtl/>
              </w:rPr>
            </w:pPr>
            <w:r>
              <w:rPr>
                <w:rFonts w:cs="David" w:hint="cs"/>
                <w:color w:val="000000" w:themeColor="text1"/>
                <w:sz w:val="22"/>
                <w:szCs w:val="22"/>
                <w:rtl/>
              </w:rPr>
              <w:t>0.2</w:t>
            </w:r>
            <w:r w:rsidR="00C1207E">
              <w:rPr>
                <w:rFonts w:cs="David" w:hint="cs"/>
                <w:color w:val="000000" w:themeColor="text1"/>
                <w:sz w:val="22"/>
                <w:szCs w:val="22"/>
                <w:rtl/>
              </w:rPr>
              <w:t>%</w:t>
            </w:r>
          </w:p>
        </w:tc>
        <w:tc>
          <w:tcPr>
            <w:tcW w:w="6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698A" w:rsidRPr="004A2687" w:rsidRDefault="0030698A" w:rsidP="005B19E8">
            <w:pPr>
              <w:rPr>
                <w:rFonts w:cs="David"/>
                <w:sz w:val="22"/>
                <w:szCs w:val="22"/>
              </w:rPr>
            </w:pPr>
            <w:r w:rsidRPr="004A2687">
              <w:rPr>
                <w:rFonts w:cs="David"/>
                <w:sz w:val="22"/>
                <w:szCs w:val="22"/>
                <w:rtl/>
              </w:rPr>
              <w:t xml:space="preserve">ממוצע שיעור </w:t>
            </w:r>
            <w:r w:rsidR="006800BE">
              <w:rPr>
                <w:rFonts w:cs="David" w:hint="cs"/>
                <w:sz w:val="22"/>
                <w:szCs w:val="22"/>
                <w:rtl/>
              </w:rPr>
              <w:t>עליית</w:t>
            </w:r>
            <w:r w:rsidRPr="004A2687">
              <w:rPr>
                <w:rFonts w:cs="David"/>
                <w:sz w:val="22"/>
                <w:szCs w:val="22"/>
                <w:rtl/>
              </w:rPr>
              <w:t xml:space="preserve"> המדד ל</w:t>
            </w:r>
            <w:r w:rsidR="008C1BCB">
              <w:rPr>
                <w:rFonts w:cs="David" w:hint="cs"/>
                <w:sz w:val="22"/>
                <w:szCs w:val="22"/>
                <w:rtl/>
              </w:rPr>
              <w:t>5</w:t>
            </w:r>
            <w:r w:rsidRPr="004A2687">
              <w:rPr>
                <w:rFonts w:cs="David"/>
                <w:sz w:val="22"/>
                <w:szCs w:val="22"/>
                <w:rtl/>
              </w:rPr>
              <w:t xml:space="preserve"> שנים:</w:t>
            </w:r>
            <w:r w:rsidR="005B19E8">
              <w:rPr>
                <w:rFonts w:cs="David" w:hint="cs"/>
                <w:sz w:val="22"/>
                <w:szCs w:val="22"/>
                <w:rtl/>
              </w:rPr>
              <w:t>2016</w:t>
            </w:r>
            <w:r>
              <w:rPr>
                <w:rFonts w:cs="David" w:hint="cs"/>
                <w:sz w:val="22"/>
                <w:szCs w:val="22"/>
                <w:rtl/>
              </w:rPr>
              <w:t>-</w:t>
            </w:r>
            <w:r w:rsidR="005B19E8">
              <w:rPr>
                <w:rFonts w:cs="David" w:hint="cs"/>
                <w:sz w:val="22"/>
                <w:szCs w:val="22"/>
                <w:rtl/>
              </w:rPr>
              <w:t>2020</w:t>
            </w:r>
          </w:p>
        </w:tc>
      </w:tr>
    </w:tbl>
    <w:p w:rsidR="0030698A" w:rsidRPr="004A2687" w:rsidRDefault="0030698A" w:rsidP="0030698A">
      <w:pPr>
        <w:spacing w:line="240" w:lineRule="atLeast"/>
        <w:rPr>
          <w:rFonts w:cs="David"/>
          <w:sz w:val="22"/>
          <w:szCs w:val="22"/>
          <w:rtl/>
          <w:lang w:eastAsia="en-US"/>
        </w:rPr>
      </w:pPr>
    </w:p>
    <w:tbl>
      <w:tblPr>
        <w:bidiVisual/>
        <w:tblW w:w="7533" w:type="dxa"/>
        <w:jc w:val="center"/>
        <w:tblLayout w:type="fixed"/>
        <w:tblLook w:val="0000" w:firstRow="0" w:lastRow="0" w:firstColumn="0" w:lastColumn="0" w:noHBand="0" w:noVBand="0"/>
      </w:tblPr>
      <w:tblGrid>
        <w:gridCol w:w="6436"/>
        <w:gridCol w:w="1097"/>
      </w:tblGrid>
      <w:tr w:rsidR="0030698A" w:rsidRPr="004A2687" w:rsidTr="000757BB">
        <w:trPr>
          <w:jc w:val="center"/>
        </w:trPr>
        <w:tc>
          <w:tcPr>
            <w:tcW w:w="7533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30698A" w:rsidRPr="004A2687" w:rsidRDefault="0030698A" w:rsidP="000757BB">
            <w:pPr>
              <w:spacing w:after="120" w:line="240" w:lineRule="atLeast"/>
              <w:jc w:val="center"/>
              <w:rPr>
                <w:rFonts w:cs="David"/>
                <w:b/>
                <w:bCs/>
                <w:sz w:val="22"/>
                <w:szCs w:val="22"/>
                <w:rtl/>
              </w:rPr>
            </w:pPr>
            <w:r w:rsidRPr="004A2687">
              <w:rPr>
                <w:rFonts w:cs="David"/>
                <w:b/>
                <w:bCs/>
                <w:sz w:val="22"/>
                <w:szCs w:val="22"/>
                <w:rtl/>
              </w:rPr>
              <w:t>דמי ניהול ועמלות                                                                                         %</w:t>
            </w:r>
          </w:p>
        </w:tc>
      </w:tr>
      <w:tr w:rsidR="0030698A" w:rsidRPr="004A2687" w:rsidTr="000757BB">
        <w:trPr>
          <w:jc w:val="center"/>
        </w:trPr>
        <w:tc>
          <w:tcPr>
            <w:tcW w:w="6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C5C" w:rsidRDefault="00FD5C5C" w:rsidP="00FD5C5C">
            <w:pPr>
              <w:spacing w:line="240" w:lineRule="atLeast"/>
              <w:jc w:val="left"/>
              <w:rPr>
                <w:rFonts w:cs="David"/>
                <w:sz w:val="22"/>
                <w:szCs w:val="22"/>
              </w:rPr>
            </w:pPr>
            <w:r>
              <w:rPr>
                <w:rFonts w:cs="David"/>
                <w:sz w:val="22"/>
                <w:szCs w:val="22"/>
                <w:rtl/>
              </w:rPr>
              <w:t xml:space="preserve">שיעור דמי הניהול מהפרמיות שנגבו בפועל מהמבוטחים בממוצע: </w:t>
            </w:r>
          </w:p>
          <w:p w:rsidR="0030698A" w:rsidRPr="00FD5C5C" w:rsidRDefault="0030698A" w:rsidP="000757BB">
            <w:pPr>
              <w:spacing w:line="240" w:lineRule="atLeast"/>
              <w:jc w:val="left"/>
              <w:rPr>
                <w:rFonts w:cs="David"/>
                <w:sz w:val="22"/>
                <w:szCs w:val="22"/>
                <w:rtl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698A" w:rsidRPr="004A2687" w:rsidRDefault="005B19E8" w:rsidP="00153B26">
            <w:pPr>
              <w:tabs>
                <w:tab w:val="left" w:pos="0"/>
              </w:tabs>
              <w:jc w:val="center"/>
              <w:rPr>
                <w:rFonts w:cs="David"/>
                <w:sz w:val="22"/>
                <w:szCs w:val="22"/>
                <w:rtl/>
              </w:rPr>
            </w:pPr>
            <w:r>
              <w:rPr>
                <w:rFonts w:cs="David" w:hint="cs"/>
                <w:sz w:val="22"/>
                <w:szCs w:val="22"/>
                <w:rtl/>
              </w:rPr>
              <w:t>3.25</w:t>
            </w:r>
            <w:r w:rsidR="00FD5C5C">
              <w:rPr>
                <w:rFonts w:cs="David" w:hint="cs"/>
                <w:sz w:val="22"/>
                <w:szCs w:val="22"/>
                <w:rtl/>
              </w:rPr>
              <w:t>%</w:t>
            </w:r>
          </w:p>
        </w:tc>
      </w:tr>
      <w:tr w:rsidR="0030698A" w:rsidRPr="004A2687" w:rsidTr="000757BB">
        <w:trPr>
          <w:jc w:val="center"/>
        </w:trPr>
        <w:tc>
          <w:tcPr>
            <w:tcW w:w="6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698A" w:rsidRPr="004A2687" w:rsidRDefault="0030698A" w:rsidP="000757BB">
            <w:pPr>
              <w:spacing w:line="240" w:lineRule="atLeast"/>
              <w:jc w:val="left"/>
              <w:rPr>
                <w:rFonts w:cs="David"/>
                <w:sz w:val="22"/>
                <w:szCs w:val="22"/>
                <w:highlight w:val="yellow"/>
                <w:rtl/>
              </w:rPr>
            </w:pPr>
            <w:r w:rsidRPr="004A2687">
              <w:rPr>
                <w:rFonts w:cs="David"/>
                <w:sz w:val="22"/>
                <w:szCs w:val="22"/>
                <w:rtl/>
              </w:rPr>
              <w:t>שיעור דמי הניהול הקבועים מהחיסכון המצטבר שנגבו בפועל מסך נכסי המבוטחים בממוצע: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698A" w:rsidRPr="004A2687" w:rsidRDefault="0030698A" w:rsidP="005B19E8">
            <w:pPr>
              <w:jc w:val="center"/>
              <w:rPr>
                <w:rFonts w:cs="David"/>
                <w:sz w:val="22"/>
                <w:szCs w:val="22"/>
                <w:rtl/>
              </w:rPr>
            </w:pPr>
            <w:r>
              <w:rPr>
                <w:rFonts w:cs="David" w:hint="cs"/>
                <w:sz w:val="22"/>
                <w:szCs w:val="22"/>
                <w:rtl/>
              </w:rPr>
              <w:t>0.5</w:t>
            </w:r>
            <w:r w:rsidR="005B19E8">
              <w:rPr>
                <w:rFonts w:cs="David" w:hint="cs"/>
                <w:sz w:val="22"/>
                <w:szCs w:val="22"/>
                <w:rtl/>
              </w:rPr>
              <w:t>5</w:t>
            </w:r>
            <w:r>
              <w:rPr>
                <w:rFonts w:cs="David" w:hint="cs"/>
                <w:sz w:val="22"/>
                <w:szCs w:val="22"/>
                <w:rtl/>
              </w:rPr>
              <w:t>%</w:t>
            </w:r>
          </w:p>
        </w:tc>
      </w:tr>
      <w:tr w:rsidR="0030698A" w:rsidRPr="004A2687" w:rsidTr="000757BB">
        <w:trPr>
          <w:jc w:val="center"/>
        </w:trPr>
        <w:tc>
          <w:tcPr>
            <w:tcW w:w="6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698A" w:rsidRPr="004A2687" w:rsidRDefault="0030698A" w:rsidP="000757BB">
            <w:pPr>
              <w:spacing w:line="240" w:lineRule="atLeast"/>
              <w:jc w:val="left"/>
              <w:rPr>
                <w:rFonts w:cs="David"/>
                <w:sz w:val="22"/>
                <w:szCs w:val="22"/>
                <w:rtl/>
              </w:rPr>
            </w:pPr>
            <w:r w:rsidRPr="004A2687">
              <w:rPr>
                <w:rFonts w:cs="David"/>
                <w:sz w:val="22"/>
                <w:szCs w:val="22"/>
                <w:rtl/>
              </w:rPr>
              <w:t>שיעור דמי הניהול המשתנים מהחיסכון המצטבר שנגבו בפועל מסך נכסי המבוטחים בממוצע: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698A" w:rsidRPr="004A2687" w:rsidRDefault="0030698A" w:rsidP="000757BB">
            <w:pPr>
              <w:jc w:val="center"/>
              <w:rPr>
                <w:rFonts w:cs="David"/>
                <w:sz w:val="22"/>
                <w:szCs w:val="22"/>
                <w:rtl/>
              </w:rPr>
            </w:pPr>
            <w:r>
              <w:rPr>
                <w:rFonts w:cs="David" w:hint="cs"/>
                <w:sz w:val="22"/>
                <w:szCs w:val="22"/>
                <w:rtl/>
              </w:rPr>
              <w:t>-</w:t>
            </w:r>
          </w:p>
        </w:tc>
      </w:tr>
      <w:tr w:rsidR="0030698A" w:rsidRPr="004A2687" w:rsidTr="000757BB">
        <w:trPr>
          <w:jc w:val="center"/>
        </w:trPr>
        <w:tc>
          <w:tcPr>
            <w:tcW w:w="6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698A" w:rsidRPr="004A2687" w:rsidRDefault="0030698A" w:rsidP="000757BB">
            <w:pPr>
              <w:spacing w:before="120" w:line="240" w:lineRule="atLeast"/>
              <w:jc w:val="left"/>
              <w:rPr>
                <w:rFonts w:cs="David"/>
                <w:sz w:val="22"/>
                <w:szCs w:val="22"/>
                <w:rtl/>
              </w:rPr>
            </w:pPr>
            <w:r w:rsidRPr="004A2687">
              <w:rPr>
                <w:rFonts w:cs="David"/>
                <w:sz w:val="22"/>
                <w:szCs w:val="22"/>
                <w:rtl/>
              </w:rPr>
              <w:t>שיעור ממוצע העמלות שגבתה הקרן בפועל בשנת הדיווח: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698A" w:rsidRPr="004A2687" w:rsidRDefault="00DC6962" w:rsidP="005B19E8">
            <w:pPr>
              <w:jc w:val="center"/>
              <w:rPr>
                <w:rFonts w:cs="David"/>
                <w:sz w:val="22"/>
                <w:szCs w:val="22"/>
                <w:rtl/>
              </w:rPr>
            </w:pPr>
            <w:r>
              <w:rPr>
                <w:rFonts w:cs="David" w:hint="cs"/>
                <w:sz w:val="22"/>
                <w:szCs w:val="22"/>
                <w:rtl/>
              </w:rPr>
              <w:t>0.</w:t>
            </w:r>
            <w:r w:rsidR="00711AE0">
              <w:rPr>
                <w:rFonts w:cs="David" w:hint="cs"/>
                <w:sz w:val="22"/>
                <w:szCs w:val="22"/>
                <w:rtl/>
              </w:rPr>
              <w:t>2</w:t>
            </w:r>
            <w:r w:rsidR="005B19E8">
              <w:rPr>
                <w:rFonts w:cs="David" w:hint="cs"/>
                <w:sz w:val="22"/>
                <w:szCs w:val="22"/>
                <w:rtl/>
              </w:rPr>
              <w:t>6</w:t>
            </w:r>
            <w:r>
              <w:rPr>
                <w:rFonts w:cs="David" w:hint="cs"/>
                <w:sz w:val="22"/>
                <w:szCs w:val="22"/>
                <w:rtl/>
              </w:rPr>
              <w:t>%</w:t>
            </w:r>
          </w:p>
        </w:tc>
      </w:tr>
      <w:tr w:rsidR="0030698A" w:rsidRPr="004A2687" w:rsidTr="000757BB">
        <w:trPr>
          <w:jc w:val="center"/>
        </w:trPr>
        <w:tc>
          <w:tcPr>
            <w:tcW w:w="6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698A" w:rsidRPr="004A2687" w:rsidRDefault="0030698A" w:rsidP="000757BB">
            <w:pPr>
              <w:spacing w:line="240" w:lineRule="atLeast"/>
              <w:jc w:val="left"/>
              <w:rPr>
                <w:rFonts w:cs="David"/>
                <w:sz w:val="22"/>
                <w:szCs w:val="22"/>
                <w:rtl/>
              </w:rPr>
            </w:pPr>
            <w:r w:rsidRPr="004A2687">
              <w:rPr>
                <w:rFonts w:cs="David"/>
                <w:sz w:val="22"/>
                <w:szCs w:val="22"/>
                <w:rtl/>
              </w:rPr>
              <w:t>שיעור ממוצע עמלות ניהול חיצוני שגבתה הקרן בפועל בשנת הדיווח: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698A" w:rsidRPr="004A2687" w:rsidRDefault="0030698A" w:rsidP="005B19E8">
            <w:pPr>
              <w:jc w:val="center"/>
              <w:rPr>
                <w:rFonts w:cs="David"/>
                <w:sz w:val="22"/>
                <w:szCs w:val="22"/>
                <w:rtl/>
              </w:rPr>
            </w:pPr>
            <w:r>
              <w:rPr>
                <w:rFonts w:cs="David" w:hint="cs"/>
                <w:sz w:val="22"/>
                <w:szCs w:val="22"/>
                <w:rtl/>
              </w:rPr>
              <w:t>0.</w:t>
            </w:r>
            <w:r w:rsidR="00DC6962">
              <w:rPr>
                <w:rFonts w:cs="David" w:hint="cs"/>
                <w:sz w:val="22"/>
                <w:szCs w:val="22"/>
                <w:rtl/>
              </w:rPr>
              <w:t>1</w:t>
            </w:r>
            <w:r w:rsidR="005B19E8">
              <w:rPr>
                <w:rFonts w:cs="David" w:hint="cs"/>
                <w:sz w:val="22"/>
                <w:szCs w:val="22"/>
                <w:rtl/>
              </w:rPr>
              <w:t>5</w:t>
            </w:r>
            <w:r>
              <w:rPr>
                <w:rFonts w:cs="David" w:hint="cs"/>
                <w:sz w:val="22"/>
                <w:szCs w:val="22"/>
                <w:rtl/>
              </w:rPr>
              <w:t>%</w:t>
            </w:r>
          </w:p>
        </w:tc>
      </w:tr>
    </w:tbl>
    <w:p w:rsidR="0030698A" w:rsidRPr="004A2687" w:rsidRDefault="0030698A" w:rsidP="0030698A">
      <w:pPr>
        <w:spacing w:line="240" w:lineRule="atLeast"/>
        <w:rPr>
          <w:rFonts w:cs="David"/>
          <w:sz w:val="22"/>
          <w:szCs w:val="22"/>
          <w:rtl/>
          <w:lang w:eastAsia="en-US"/>
        </w:rPr>
      </w:pPr>
      <w:r w:rsidRPr="004A2687">
        <w:rPr>
          <w:rFonts w:cs="David"/>
          <w:sz w:val="22"/>
          <w:szCs w:val="22"/>
          <w:rtl/>
          <w:lang w:eastAsia="en-US"/>
        </w:rPr>
        <w:tab/>
      </w:r>
    </w:p>
    <w:tbl>
      <w:tblPr>
        <w:tblpPr w:leftFromText="180" w:rightFromText="180" w:vertAnchor="text" w:horzAnchor="margin" w:tblpXSpec="center" w:tblpY="-61"/>
        <w:tblOverlap w:val="never"/>
        <w:tblW w:w="11625" w:type="dxa"/>
        <w:tblLayout w:type="fixed"/>
        <w:tblLook w:val="0000" w:firstRow="0" w:lastRow="0" w:firstColumn="0" w:lastColumn="0" w:noHBand="0" w:noVBand="0"/>
      </w:tblPr>
      <w:tblGrid>
        <w:gridCol w:w="1317"/>
        <w:gridCol w:w="1104"/>
        <w:gridCol w:w="1104"/>
        <w:gridCol w:w="1104"/>
        <w:gridCol w:w="1266"/>
        <w:gridCol w:w="1380"/>
        <w:gridCol w:w="1196"/>
        <w:gridCol w:w="1357"/>
        <w:gridCol w:w="926"/>
        <w:gridCol w:w="848"/>
        <w:gridCol w:w="23"/>
      </w:tblGrid>
      <w:tr w:rsidR="00BE34DE" w:rsidRPr="00905040" w:rsidTr="00BE34DE">
        <w:trPr>
          <w:gridAfter w:val="1"/>
          <w:wAfter w:w="23" w:type="dxa"/>
          <w:trHeight w:val="292"/>
        </w:trPr>
        <w:tc>
          <w:tcPr>
            <w:tcW w:w="11602" w:type="dxa"/>
            <w:gridSpan w:val="10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E34DE" w:rsidRPr="00905040" w:rsidRDefault="00BE34DE" w:rsidP="00BE34DE">
            <w:pPr>
              <w:spacing w:after="120" w:line="240" w:lineRule="atLeast"/>
              <w:jc w:val="center"/>
              <w:rPr>
                <w:rFonts w:cs="David"/>
                <w:b/>
                <w:bCs/>
                <w:sz w:val="22"/>
                <w:szCs w:val="22"/>
                <w:rtl/>
                <w:lang w:eastAsia="en-US"/>
              </w:rPr>
            </w:pPr>
            <w:r w:rsidRPr="00905040">
              <w:rPr>
                <w:rFonts w:cs="David"/>
                <w:b/>
                <w:bCs/>
                <w:sz w:val="22"/>
                <w:szCs w:val="22"/>
                <w:rtl/>
                <w:lang w:eastAsia="en-US"/>
              </w:rPr>
              <w:t>פירוט נכסי הקרן ליום  31.12.</w:t>
            </w:r>
            <w:r>
              <w:rPr>
                <w:rFonts w:cs="David" w:hint="cs"/>
                <w:b/>
                <w:bCs/>
                <w:sz w:val="22"/>
                <w:szCs w:val="22"/>
                <w:rtl/>
                <w:lang w:eastAsia="en-US"/>
              </w:rPr>
              <w:t>2020</w:t>
            </w:r>
            <w:r w:rsidRPr="00905040">
              <w:rPr>
                <w:rFonts w:cs="David"/>
                <w:b/>
                <w:bCs/>
                <w:sz w:val="22"/>
                <w:szCs w:val="22"/>
                <w:rtl/>
                <w:lang w:eastAsia="en-US"/>
              </w:rPr>
              <w:t xml:space="preserve"> בשיעורים לפי הקבוצות הבאות</w:t>
            </w:r>
          </w:p>
        </w:tc>
      </w:tr>
      <w:tr w:rsidR="00BE34DE" w:rsidRPr="009F3D02" w:rsidTr="00BE34DE">
        <w:trPr>
          <w:trHeight w:val="695"/>
        </w:trPr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4DE" w:rsidRPr="009F3D02" w:rsidRDefault="00BE34DE" w:rsidP="00BE34DE">
            <w:pPr>
              <w:spacing w:line="240" w:lineRule="atLeast"/>
              <w:jc w:val="center"/>
              <w:rPr>
                <w:rFonts w:cs="David"/>
                <w:sz w:val="22"/>
                <w:szCs w:val="22"/>
                <w:rtl/>
                <w:lang w:eastAsia="en-US"/>
              </w:rPr>
            </w:pPr>
            <w:r w:rsidRPr="009F3D02">
              <w:rPr>
                <w:rFonts w:cs="David"/>
                <w:sz w:val="22"/>
                <w:szCs w:val="22"/>
                <w:rtl/>
                <w:lang w:eastAsia="en-US"/>
              </w:rPr>
              <w:t>השקעות אחרות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4DE" w:rsidRDefault="00BE34DE" w:rsidP="00BE34DE">
            <w:pPr>
              <w:spacing w:line="240" w:lineRule="atLeast"/>
              <w:jc w:val="center"/>
              <w:rPr>
                <w:rFonts w:cs="David"/>
                <w:sz w:val="22"/>
                <w:szCs w:val="22"/>
                <w:rtl/>
                <w:lang w:eastAsia="en-US"/>
              </w:rPr>
            </w:pPr>
            <w:r>
              <w:rPr>
                <w:rFonts w:cs="David" w:hint="cs"/>
                <w:sz w:val="22"/>
                <w:szCs w:val="22"/>
                <w:rtl/>
                <w:lang w:eastAsia="en-US"/>
              </w:rPr>
              <w:t>נדל"ן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4DE" w:rsidRPr="009F3D02" w:rsidRDefault="00BE34DE" w:rsidP="00BE34DE">
            <w:pPr>
              <w:spacing w:line="240" w:lineRule="atLeast"/>
              <w:jc w:val="center"/>
              <w:rPr>
                <w:rFonts w:cs="David"/>
                <w:sz w:val="22"/>
                <w:szCs w:val="22"/>
                <w:rtl/>
                <w:lang w:eastAsia="en-US"/>
              </w:rPr>
            </w:pPr>
            <w:r>
              <w:rPr>
                <w:rFonts w:cs="David" w:hint="cs"/>
                <w:sz w:val="22"/>
                <w:szCs w:val="22"/>
                <w:rtl/>
                <w:lang w:eastAsia="en-US"/>
              </w:rPr>
              <w:t>תעודות סל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4DE" w:rsidRPr="009F3D02" w:rsidRDefault="00BE34DE" w:rsidP="00BE34DE">
            <w:pPr>
              <w:spacing w:line="240" w:lineRule="atLeast"/>
              <w:jc w:val="center"/>
              <w:rPr>
                <w:rFonts w:cs="David"/>
                <w:sz w:val="22"/>
                <w:szCs w:val="22"/>
                <w:rtl/>
                <w:lang w:eastAsia="en-US"/>
              </w:rPr>
            </w:pPr>
            <w:r w:rsidRPr="009F3D02">
              <w:rPr>
                <w:rFonts w:cs="David"/>
                <w:sz w:val="22"/>
                <w:szCs w:val="22"/>
                <w:rtl/>
                <w:lang w:eastAsia="en-US"/>
              </w:rPr>
              <w:t>הלוואות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4DE" w:rsidRPr="009F3D02" w:rsidRDefault="00BE34DE" w:rsidP="00BE34DE">
            <w:pPr>
              <w:spacing w:line="240" w:lineRule="atLeast"/>
              <w:jc w:val="center"/>
              <w:rPr>
                <w:rFonts w:cs="David"/>
                <w:sz w:val="22"/>
                <w:szCs w:val="22"/>
                <w:rtl/>
                <w:lang w:eastAsia="en-US"/>
              </w:rPr>
            </w:pPr>
            <w:r w:rsidRPr="009F3D02">
              <w:rPr>
                <w:rFonts w:cs="David"/>
                <w:sz w:val="22"/>
                <w:szCs w:val="22"/>
                <w:rtl/>
                <w:lang w:eastAsia="en-US"/>
              </w:rPr>
              <w:t xml:space="preserve">מניות 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4DE" w:rsidRPr="009F3D02" w:rsidRDefault="00BE34DE" w:rsidP="00BE34DE">
            <w:pPr>
              <w:spacing w:line="240" w:lineRule="atLeast"/>
              <w:jc w:val="center"/>
              <w:rPr>
                <w:rFonts w:cs="David"/>
                <w:sz w:val="22"/>
                <w:szCs w:val="22"/>
                <w:rtl/>
                <w:lang w:eastAsia="en-US"/>
              </w:rPr>
            </w:pPr>
            <w:r w:rsidRPr="009F3D02">
              <w:rPr>
                <w:rFonts w:cs="David"/>
                <w:sz w:val="22"/>
                <w:szCs w:val="22"/>
                <w:rtl/>
                <w:lang w:eastAsia="en-US"/>
              </w:rPr>
              <w:t>אג"</w:t>
            </w:r>
            <w:bookmarkStart w:id="0" w:name="_GoBack"/>
            <w:bookmarkEnd w:id="0"/>
            <w:r w:rsidRPr="009F3D02">
              <w:rPr>
                <w:rFonts w:cs="David"/>
                <w:sz w:val="22"/>
                <w:szCs w:val="22"/>
                <w:rtl/>
                <w:lang w:eastAsia="en-US"/>
              </w:rPr>
              <w:t xml:space="preserve">ח </w:t>
            </w:r>
            <w:proofErr w:type="spellStart"/>
            <w:r w:rsidRPr="009F3D02">
              <w:rPr>
                <w:rFonts w:cs="David"/>
                <w:sz w:val="22"/>
                <w:szCs w:val="22"/>
                <w:rtl/>
                <w:lang w:eastAsia="en-US"/>
              </w:rPr>
              <w:t>קונצרניות</w:t>
            </w:r>
            <w:proofErr w:type="spellEnd"/>
            <w:r w:rsidRPr="009F3D02">
              <w:rPr>
                <w:rFonts w:cs="David"/>
                <w:sz w:val="22"/>
                <w:szCs w:val="22"/>
                <w:rtl/>
                <w:lang w:eastAsia="en-US"/>
              </w:rPr>
              <w:t xml:space="preserve"> סחירות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4DE" w:rsidRPr="009F3D02" w:rsidRDefault="00BE34DE" w:rsidP="00BE34DE">
            <w:pPr>
              <w:spacing w:line="240" w:lineRule="atLeast"/>
              <w:jc w:val="center"/>
              <w:rPr>
                <w:rFonts w:cs="David"/>
                <w:sz w:val="22"/>
                <w:szCs w:val="22"/>
                <w:rtl/>
                <w:lang w:eastAsia="en-US"/>
              </w:rPr>
            </w:pPr>
            <w:r w:rsidRPr="009F3D02">
              <w:rPr>
                <w:rFonts w:cs="David"/>
                <w:sz w:val="22"/>
                <w:szCs w:val="22"/>
                <w:rtl/>
                <w:lang w:eastAsia="en-US"/>
              </w:rPr>
              <w:t>אג"ח ממשלתיות סחירות</w:t>
            </w:r>
          </w:p>
        </w:tc>
        <w:tc>
          <w:tcPr>
            <w:tcW w:w="1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4DE" w:rsidRPr="009F3D02" w:rsidRDefault="00BE34DE" w:rsidP="00BE34DE">
            <w:pPr>
              <w:spacing w:line="240" w:lineRule="atLeast"/>
              <w:jc w:val="center"/>
              <w:rPr>
                <w:rFonts w:cs="David"/>
                <w:sz w:val="22"/>
                <w:szCs w:val="22"/>
                <w:rtl/>
                <w:lang w:eastAsia="en-US"/>
              </w:rPr>
            </w:pPr>
            <w:r w:rsidRPr="009F3D02">
              <w:rPr>
                <w:rFonts w:cs="David"/>
                <w:sz w:val="22"/>
                <w:szCs w:val="22"/>
                <w:rtl/>
                <w:lang w:eastAsia="en-US"/>
              </w:rPr>
              <w:t>מזומנים ושווי מזומנים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4DE" w:rsidRPr="009F3D02" w:rsidRDefault="00BE34DE" w:rsidP="00BE34DE">
            <w:pPr>
              <w:spacing w:line="240" w:lineRule="atLeast"/>
              <w:jc w:val="center"/>
              <w:rPr>
                <w:rFonts w:cs="David"/>
                <w:sz w:val="22"/>
                <w:szCs w:val="22"/>
                <w:rtl/>
                <w:lang w:eastAsia="en-US"/>
              </w:rPr>
            </w:pPr>
            <w:r w:rsidRPr="009F3D02">
              <w:rPr>
                <w:rFonts w:cs="David"/>
                <w:sz w:val="22"/>
                <w:szCs w:val="22"/>
                <w:rtl/>
                <w:lang w:eastAsia="en-US"/>
              </w:rPr>
              <w:t xml:space="preserve">אג"ח </w:t>
            </w:r>
            <w:proofErr w:type="spellStart"/>
            <w:r w:rsidRPr="009F3D02">
              <w:rPr>
                <w:rFonts w:cs="David"/>
                <w:sz w:val="22"/>
                <w:szCs w:val="22"/>
                <w:rtl/>
                <w:lang w:eastAsia="en-US"/>
              </w:rPr>
              <w:t>ח"צ</w:t>
            </w:r>
            <w:proofErr w:type="spellEnd"/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4DE" w:rsidRPr="009F3D02" w:rsidRDefault="00BE34DE" w:rsidP="00BE34DE">
            <w:pPr>
              <w:spacing w:line="240" w:lineRule="atLeast"/>
              <w:jc w:val="center"/>
              <w:rPr>
                <w:rFonts w:cs="David"/>
                <w:color w:val="000000" w:themeColor="text1"/>
                <w:sz w:val="22"/>
                <w:szCs w:val="22"/>
                <w:rtl/>
                <w:lang w:eastAsia="en-US"/>
              </w:rPr>
            </w:pPr>
            <w:r w:rsidRPr="009F3D02">
              <w:rPr>
                <w:rFonts w:cs="David"/>
                <w:color w:val="000000" w:themeColor="text1"/>
                <w:sz w:val="22"/>
                <w:szCs w:val="22"/>
                <w:rtl/>
                <w:lang w:eastAsia="en-US"/>
              </w:rPr>
              <w:t>אג"ח</w:t>
            </w:r>
            <w:r w:rsidRPr="009F3D02">
              <w:rPr>
                <w:rFonts w:cs="David" w:hint="cs"/>
                <w:color w:val="000000" w:themeColor="text1"/>
                <w:sz w:val="22"/>
                <w:szCs w:val="22"/>
                <w:rtl/>
                <w:lang w:eastAsia="en-US"/>
              </w:rPr>
              <w:t xml:space="preserve"> </w:t>
            </w:r>
            <w:proofErr w:type="spellStart"/>
            <w:r w:rsidRPr="009F3D02">
              <w:rPr>
                <w:rFonts w:cs="David" w:hint="cs"/>
                <w:color w:val="000000" w:themeColor="text1"/>
                <w:sz w:val="22"/>
                <w:szCs w:val="22"/>
                <w:rtl/>
                <w:lang w:eastAsia="en-US"/>
              </w:rPr>
              <w:t>קונצרני</w:t>
            </w:r>
            <w:proofErr w:type="spellEnd"/>
            <w:r w:rsidRPr="009F3D02">
              <w:rPr>
                <w:rFonts w:cs="David"/>
                <w:color w:val="000000" w:themeColor="text1"/>
                <w:sz w:val="22"/>
                <w:szCs w:val="22"/>
                <w:rtl/>
                <w:lang w:eastAsia="en-US"/>
              </w:rPr>
              <w:t xml:space="preserve"> לא סחיר</w:t>
            </w:r>
          </w:p>
        </w:tc>
      </w:tr>
      <w:tr w:rsidR="00BE34DE" w:rsidRPr="009F3D02" w:rsidTr="00BE34DE">
        <w:trPr>
          <w:trHeight w:val="243"/>
        </w:trPr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4DE" w:rsidRPr="00BE34DE" w:rsidRDefault="00BE34DE" w:rsidP="00BE34DE">
            <w:pPr>
              <w:rPr>
                <w:rFonts w:asciiTheme="minorBidi" w:hAnsiTheme="minorBidi" w:cstheme="minorBidi"/>
                <w:sz w:val="18"/>
                <w:szCs w:val="18"/>
              </w:rPr>
            </w:pPr>
            <w:r w:rsidRPr="00BE34DE">
              <w:rPr>
                <w:rFonts w:asciiTheme="minorBidi" w:hAnsiTheme="minorBidi" w:cstheme="minorBidi"/>
                <w:sz w:val="18"/>
                <w:szCs w:val="18"/>
              </w:rPr>
              <w:t>13.30%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4DE" w:rsidRPr="00BE34DE" w:rsidRDefault="00BE34DE" w:rsidP="00BE34DE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>
              <w:rPr>
                <w:rFonts w:asciiTheme="minorBidi" w:hAnsiTheme="minorBidi" w:cstheme="minorBidi" w:hint="cs"/>
                <w:sz w:val="18"/>
                <w:szCs w:val="18"/>
                <w:rtl/>
              </w:rPr>
              <w:t>-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4DE" w:rsidRPr="00BE34DE" w:rsidRDefault="00BE34DE" w:rsidP="00BE34DE">
            <w:pPr>
              <w:rPr>
                <w:rFonts w:asciiTheme="minorBidi" w:hAnsiTheme="minorBidi" w:cstheme="minorBidi"/>
                <w:sz w:val="18"/>
                <w:szCs w:val="18"/>
              </w:rPr>
            </w:pPr>
            <w:r w:rsidRPr="00BE34DE">
              <w:rPr>
                <w:rFonts w:asciiTheme="minorBidi" w:hAnsiTheme="minorBidi" w:cstheme="minorBidi"/>
                <w:sz w:val="18"/>
                <w:szCs w:val="18"/>
              </w:rPr>
              <w:t>14.30%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4DE" w:rsidRPr="00BE34DE" w:rsidRDefault="00BE34DE" w:rsidP="00BE34DE">
            <w:pPr>
              <w:rPr>
                <w:rFonts w:asciiTheme="minorBidi" w:hAnsiTheme="minorBidi" w:cstheme="minorBidi"/>
                <w:sz w:val="18"/>
                <w:szCs w:val="18"/>
              </w:rPr>
            </w:pPr>
            <w:r w:rsidRPr="00BE34DE">
              <w:rPr>
                <w:rFonts w:asciiTheme="minorBidi" w:hAnsiTheme="minorBidi" w:cstheme="minorBidi"/>
                <w:sz w:val="18"/>
                <w:szCs w:val="18"/>
              </w:rPr>
              <w:t>1.55%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4DE" w:rsidRPr="00BE34DE" w:rsidRDefault="00BE34DE" w:rsidP="00BE34DE">
            <w:pPr>
              <w:rPr>
                <w:rFonts w:asciiTheme="minorBidi" w:hAnsiTheme="minorBidi" w:cstheme="minorBidi"/>
                <w:sz w:val="18"/>
                <w:szCs w:val="18"/>
              </w:rPr>
            </w:pPr>
            <w:r w:rsidRPr="00BE34DE">
              <w:rPr>
                <w:rFonts w:asciiTheme="minorBidi" w:hAnsiTheme="minorBidi" w:cstheme="minorBidi"/>
                <w:sz w:val="18"/>
                <w:szCs w:val="18"/>
              </w:rPr>
              <w:t>33.14%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4DE" w:rsidRPr="00BE34DE" w:rsidRDefault="00BE34DE" w:rsidP="00BE34DE">
            <w:pPr>
              <w:rPr>
                <w:rFonts w:asciiTheme="minorBidi" w:hAnsiTheme="minorBidi" w:cstheme="minorBidi"/>
                <w:sz w:val="18"/>
                <w:szCs w:val="18"/>
              </w:rPr>
            </w:pPr>
            <w:r w:rsidRPr="00BE34DE">
              <w:rPr>
                <w:rFonts w:asciiTheme="minorBidi" w:hAnsiTheme="minorBidi" w:cstheme="minorBidi"/>
                <w:sz w:val="18"/>
                <w:szCs w:val="18"/>
              </w:rPr>
              <w:t>8.29%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4DE" w:rsidRPr="00BE34DE" w:rsidRDefault="00BE34DE" w:rsidP="00BE34DE">
            <w:pPr>
              <w:rPr>
                <w:rFonts w:asciiTheme="minorBidi" w:hAnsiTheme="minorBidi" w:cstheme="minorBidi"/>
                <w:sz w:val="18"/>
                <w:szCs w:val="18"/>
              </w:rPr>
            </w:pPr>
            <w:r w:rsidRPr="00BE34DE">
              <w:rPr>
                <w:rFonts w:asciiTheme="minorBidi" w:hAnsiTheme="minorBidi" w:cstheme="minorBidi"/>
                <w:sz w:val="18"/>
                <w:szCs w:val="18"/>
              </w:rPr>
              <w:t>12.68%</w:t>
            </w:r>
          </w:p>
        </w:tc>
        <w:tc>
          <w:tcPr>
            <w:tcW w:w="1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4DE" w:rsidRPr="00BE34DE" w:rsidRDefault="00BE34DE" w:rsidP="00BE34DE">
            <w:pPr>
              <w:rPr>
                <w:rFonts w:asciiTheme="minorBidi" w:hAnsiTheme="minorBidi" w:cstheme="minorBidi"/>
                <w:sz w:val="18"/>
                <w:szCs w:val="18"/>
              </w:rPr>
            </w:pPr>
            <w:r w:rsidRPr="00BE34DE">
              <w:rPr>
                <w:rFonts w:asciiTheme="minorBidi" w:hAnsiTheme="minorBidi" w:cstheme="minorBidi"/>
                <w:sz w:val="18"/>
                <w:szCs w:val="18"/>
              </w:rPr>
              <w:t>15.79%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4DE" w:rsidRPr="00BE34DE" w:rsidRDefault="00BE34DE" w:rsidP="00BE34DE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>
              <w:rPr>
                <w:rFonts w:asciiTheme="minorBidi" w:hAnsiTheme="minorBidi" w:cstheme="minorBidi" w:hint="cs"/>
                <w:sz w:val="18"/>
                <w:szCs w:val="18"/>
                <w:rtl/>
              </w:rPr>
              <w:t>-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4DE" w:rsidRPr="00BE34DE" w:rsidRDefault="00BE34DE" w:rsidP="00BE34DE">
            <w:pPr>
              <w:rPr>
                <w:rFonts w:asciiTheme="minorBidi" w:hAnsiTheme="minorBidi" w:cstheme="minorBidi"/>
                <w:sz w:val="18"/>
                <w:szCs w:val="18"/>
              </w:rPr>
            </w:pPr>
            <w:r w:rsidRPr="00BE34DE">
              <w:rPr>
                <w:rFonts w:asciiTheme="minorBidi" w:hAnsiTheme="minorBidi" w:cstheme="minorBidi"/>
                <w:sz w:val="18"/>
                <w:szCs w:val="18"/>
              </w:rPr>
              <w:t>0.96%</w:t>
            </w:r>
          </w:p>
        </w:tc>
      </w:tr>
    </w:tbl>
    <w:p w:rsidR="0030698A" w:rsidRPr="00905040" w:rsidRDefault="0030698A" w:rsidP="0030698A">
      <w:pPr>
        <w:pStyle w:val="a3"/>
        <w:spacing w:line="360" w:lineRule="auto"/>
        <w:rPr>
          <w:rFonts w:cs="David"/>
          <w:sz w:val="22"/>
          <w:szCs w:val="22"/>
          <w:u w:val="single"/>
          <w:rtl/>
        </w:rPr>
      </w:pPr>
      <w:r w:rsidRPr="00905040">
        <w:rPr>
          <w:rFonts w:cs="David"/>
          <w:sz w:val="22"/>
          <w:szCs w:val="22"/>
          <w:u w:val="single"/>
          <w:rtl/>
        </w:rPr>
        <w:t xml:space="preserve">יתרת הנכסים: </w:t>
      </w:r>
    </w:p>
    <w:p w:rsidR="0030698A" w:rsidRDefault="0030698A" w:rsidP="00563CDB">
      <w:pPr>
        <w:pStyle w:val="a3"/>
        <w:spacing w:line="360" w:lineRule="auto"/>
        <w:rPr>
          <w:rFonts w:cs="David"/>
          <w:sz w:val="22"/>
          <w:szCs w:val="22"/>
          <w:rtl/>
        </w:rPr>
      </w:pPr>
      <w:r w:rsidRPr="00905040">
        <w:rPr>
          <w:rFonts w:cs="David"/>
          <w:sz w:val="22"/>
          <w:szCs w:val="22"/>
          <w:rtl/>
        </w:rPr>
        <w:t>יתרת הנכסים בקרן ליום 31.12.</w:t>
      </w:r>
      <w:r w:rsidR="00563CDB">
        <w:rPr>
          <w:rFonts w:cs="David" w:hint="cs"/>
          <w:sz w:val="22"/>
          <w:szCs w:val="22"/>
          <w:rtl/>
        </w:rPr>
        <w:t>2020</w:t>
      </w:r>
      <w:r>
        <w:rPr>
          <w:rFonts w:cs="David" w:hint="cs"/>
          <w:sz w:val="22"/>
          <w:szCs w:val="22"/>
          <w:rtl/>
        </w:rPr>
        <w:t xml:space="preserve"> </w:t>
      </w:r>
      <w:r w:rsidRPr="00905040">
        <w:rPr>
          <w:rFonts w:cs="David"/>
          <w:sz w:val="22"/>
          <w:szCs w:val="22"/>
          <w:rtl/>
        </w:rPr>
        <w:t>(באלפי ₪):</w:t>
      </w:r>
      <w:r>
        <w:rPr>
          <w:rFonts w:cs="David" w:hint="cs"/>
          <w:sz w:val="22"/>
          <w:szCs w:val="22"/>
          <w:rtl/>
        </w:rPr>
        <w:t xml:space="preserve"> </w:t>
      </w:r>
      <w:r w:rsidR="00BE34DE">
        <w:rPr>
          <w:rFonts w:cs="David" w:hint="cs"/>
          <w:sz w:val="22"/>
          <w:szCs w:val="22"/>
          <w:rtl/>
        </w:rPr>
        <w:t>294,921</w:t>
      </w:r>
    </w:p>
    <w:p w:rsidR="0030698A" w:rsidRDefault="0030698A" w:rsidP="00473C47">
      <w:pPr>
        <w:pStyle w:val="a3"/>
        <w:spacing w:line="360" w:lineRule="auto"/>
        <w:jc w:val="center"/>
        <w:rPr>
          <w:rFonts w:cs="David"/>
          <w:sz w:val="22"/>
          <w:szCs w:val="22"/>
          <w:u w:val="single"/>
          <w:rtl/>
        </w:rPr>
      </w:pPr>
      <w:r w:rsidRPr="00E800E2">
        <w:rPr>
          <w:rFonts w:cs="David"/>
          <w:sz w:val="22"/>
          <w:szCs w:val="22"/>
          <w:u w:val="single"/>
          <w:rtl/>
        </w:rPr>
        <w:t>מד</w:t>
      </w:r>
      <w:r>
        <w:rPr>
          <w:rFonts w:cs="David" w:hint="cs"/>
          <w:sz w:val="22"/>
          <w:szCs w:val="22"/>
          <w:u w:val="single"/>
          <w:rtl/>
        </w:rPr>
        <w:t>י</w:t>
      </w:r>
      <w:r w:rsidRPr="00E800E2">
        <w:rPr>
          <w:rFonts w:cs="David"/>
          <w:sz w:val="22"/>
          <w:szCs w:val="22"/>
          <w:u w:val="single"/>
          <w:rtl/>
        </w:rPr>
        <w:t xml:space="preserve">ניות השקעה </w:t>
      </w:r>
      <w:r w:rsidR="00567A5A">
        <w:rPr>
          <w:rFonts w:cs="David" w:hint="cs"/>
          <w:sz w:val="22"/>
          <w:szCs w:val="22"/>
          <w:u w:val="single"/>
          <w:rtl/>
        </w:rPr>
        <w:t xml:space="preserve">לשנת </w:t>
      </w:r>
      <w:r w:rsidR="00473C47">
        <w:rPr>
          <w:rFonts w:cs="David" w:hint="cs"/>
          <w:sz w:val="22"/>
          <w:szCs w:val="22"/>
          <w:u w:val="single"/>
          <w:rtl/>
        </w:rPr>
        <w:t>2021</w:t>
      </w:r>
    </w:p>
    <w:tbl>
      <w:tblPr>
        <w:tblStyle w:val="a5"/>
        <w:bidiVisual/>
        <w:tblW w:w="9592" w:type="dxa"/>
        <w:tblInd w:w="-1265" w:type="dxa"/>
        <w:tblLook w:val="04A0" w:firstRow="1" w:lastRow="0" w:firstColumn="1" w:lastColumn="0" w:noHBand="0" w:noVBand="1"/>
      </w:tblPr>
      <w:tblGrid>
        <w:gridCol w:w="2787"/>
        <w:gridCol w:w="1134"/>
        <w:gridCol w:w="992"/>
        <w:gridCol w:w="851"/>
        <w:gridCol w:w="1135"/>
        <w:gridCol w:w="2693"/>
      </w:tblGrid>
      <w:tr w:rsidR="00473C47" w:rsidRPr="00275308" w:rsidTr="001D342E">
        <w:trPr>
          <w:trHeight w:val="1084"/>
        </w:trPr>
        <w:tc>
          <w:tcPr>
            <w:tcW w:w="2787" w:type="dxa"/>
            <w:noWrap/>
            <w:hideMark/>
          </w:tcPr>
          <w:p w:rsidR="00473C47" w:rsidRPr="00275308" w:rsidRDefault="00473C47" w:rsidP="00E42417">
            <w:pPr>
              <w:jc w:val="left"/>
              <w:rPr>
                <w:rFonts w:asciiTheme="minorBidi" w:hAnsiTheme="minorBidi" w:cstheme="minorBidi"/>
                <w:sz w:val="18"/>
                <w:szCs w:val="18"/>
              </w:rPr>
            </w:pPr>
            <w:r w:rsidRPr="00275308">
              <w:rPr>
                <w:rFonts w:asciiTheme="minorBidi" w:hAnsiTheme="minorBidi" w:cstheme="minorBidi"/>
                <w:sz w:val="18"/>
                <w:szCs w:val="18"/>
                <w:rtl/>
              </w:rPr>
              <w:t>אפיק השקעה</w:t>
            </w:r>
          </w:p>
        </w:tc>
        <w:tc>
          <w:tcPr>
            <w:tcW w:w="1134" w:type="dxa"/>
            <w:hideMark/>
          </w:tcPr>
          <w:p w:rsidR="00473C47" w:rsidRPr="00275308" w:rsidRDefault="00473C47" w:rsidP="00E42417">
            <w:pPr>
              <w:jc w:val="left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 w:rsidRPr="00275308"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  <w:t>שיעור חשיפה ליום 30.11.2020</w:t>
            </w:r>
          </w:p>
        </w:tc>
        <w:tc>
          <w:tcPr>
            <w:tcW w:w="992" w:type="dxa"/>
            <w:hideMark/>
          </w:tcPr>
          <w:p w:rsidR="00473C47" w:rsidRPr="00275308" w:rsidRDefault="00473C47" w:rsidP="00E42417">
            <w:pPr>
              <w:jc w:val="left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 w:rsidRPr="00275308"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  <w:t>שיעור חשיפה צפוי לשנת 2021</w:t>
            </w:r>
          </w:p>
        </w:tc>
        <w:tc>
          <w:tcPr>
            <w:tcW w:w="851" w:type="dxa"/>
            <w:noWrap/>
            <w:hideMark/>
          </w:tcPr>
          <w:p w:rsidR="00473C47" w:rsidRPr="00275308" w:rsidRDefault="00473C47" w:rsidP="00E42417">
            <w:pPr>
              <w:jc w:val="left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 w:rsidRPr="00275308"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  <w:t>טווח סטייה</w:t>
            </w:r>
          </w:p>
        </w:tc>
        <w:tc>
          <w:tcPr>
            <w:tcW w:w="1135" w:type="dxa"/>
            <w:hideMark/>
          </w:tcPr>
          <w:p w:rsidR="00473C47" w:rsidRPr="00275308" w:rsidRDefault="00473C47" w:rsidP="00E42417">
            <w:pPr>
              <w:jc w:val="left"/>
              <w:rPr>
                <w:rFonts w:asciiTheme="minorBidi" w:hAnsiTheme="minorBidi" w:cstheme="minorBidi"/>
                <w:sz w:val="18"/>
                <w:szCs w:val="18"/>
                <w:rtl/>
              </w:rPr>
            </w:pPr>
            <w:r w:rsidRPr="00275308">
              <w:rPr>
                <w:rFonts w:asciiTheme="minorBidi" w:hAnsiTheme="minorBidi" w:cstheme="minorBidi"/>
                <w:sz w:val="18"/>
                <w:szCs w:val="18"/>
                <w:rtl/>
              </w:rPr>
              <w:t>גבולות שיעור החשיפה הצפויה</w:t>
            </w:r>
          </w:p>
        </w:tc>
        <w:tc>
          <w:tcPr>
            <w:tcW w:w="2693" w:type="dxa"/>
            <w:noWrap/>
            <w:hideMark/>
          </w:tcPr>
          <w:p w:rsidR="00473C47" w:rsidRPr="00275308" w:rsidRDefault="00473C47" w:rsidP="00E42417">
            <w:pPr>
              <w:jc w:val="left"/>
              <w:rPr>
                <w:rFonts w:asciiTheme="minorBidi" w:hAnsiTheme="minorBidi" w:cstheme="minorBidi"/>
                <w:sz w:val="18"/>
                <w:szCs w:val="18"/>
                <w:rtl/>
              </w:rPr>
            </w:pPr>
            <w:r w:rsidRPr="00275308">
              <w:rPr>
                <w:rFonts w:asciiTheme="minorBidi" w:hAnsiTheme="minorBidi" w:cstheme="minorBidi"/>
                <w:sz w:val="18"/>
                <w:szCs w:val="18"/>
                <w:rtl/>
              </w:rPr>
              <w:t>מדד ייחוס</w:t>
            </w:r>
          </w:p>
        </w:tc>
      </w:tr>
      <w:tr w:rsidR="00473C47" w:rsidRPr="00275308" w:rsidTr="001D342E">
        <w:trPr>
          <w:trHeight w:val="65"/>
        </w:trPr>
        <w:tc>
          <w:tcPr>
            <w:tcW w:w="2787" w:type="dxa"/>
            <w:vMerge w:val="restart"/>
            <w:hideMark/>
          </w:tcPr>
          <w:p w:rsidR="00473C47" w:rsidRPr="00275308" w:rsidRDefault="00473C47" w:rsidP="00E42417">
            <w:pPr>
              <w:jc w:val="left"/>
              <w:rPr>
                <w:rFonts w:asciiTheme="minorBidi" w:hAnsiTheme="minorBidi" w:cstheme="minorBidi"/>
                <w:sz w:val="18"/>
                <w:szCs w:val="18"/>
                <w:rtl/>
              </w:rPr>
            </w:pPr>
            <w:r w:rsidRPr="00275308">
              <w:rPr>
                <w:rFonts w:asciiTheme="minorBidi" w:hAnsiTheme="minorBidi" w:cstheme="minorBidi"/>
                <w:sz w:val="18"/>
                <w:szCs w:val="18"/>
                <w:rtl/>
              </w:rPr>
              <w:t xml:space="preserve">מניות (תעודות סל, קרנות </w:t>
            </w:r>
            <w:proofErr w:type="spellStart"/>
            <w:r w:rsidRPr="00275308">
              <w:rPr>
                <w:rFonts w:asciiTheme="minorBidi" w:hAnsiTheme="minorBidi" w:cstheme="minorBidi"/>
                <w:sz w:val="18"/>
                <w:szCs w:val="18"/>
                <w:rtl/>
              </w:rPr>
              <w:t>נאמנות,חוזים</w:t>
            </w:r>
            <w:proofErr w:type="spellEnd"/>
            <w:r w:rsidRPr="00275308">
              <w:rPr>
                <w:rFonts w:asciiTheme="minorBidi" w:hAnsiTheme="minorBidi" w:cstheme="minorBidi"/>
                <w:sz w:val="18"/>
                <w:szCs w:val="18"/>
                <w:rtl/>
              </w:rPr>
              <w:t xml:space="preserve"> אופציות ונגזרים)</w:t>
            </w:r>
          </w:p>
        </w:tc>
        <w:tc>
          <w:tcPr>
            <w:tcW w:w="1134" w:type="dxa"/>
            <w:noWrap/>
            <w:hideMark/>
          </w:tcPr>
          <w:p w:rsidR="00473C47" w:rsidRPr="00275308" w:rsidRDefault="00473C47" w:rsidP="00E42417">
            <w:pPr>
              <w:jc w:val="left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 w:rsidRPr="00275308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Merge w:val="restart"/>
            <w:hideMark/>
          </w:tcPr>
          <w:p w:rsidR="00473C47" w:rsidRPr="00275308" w:rsidRDefault="00473C47" w:rsidP="00E42417">
            <w:pPr>
              <w:jc w:val="left"/>
              <w:rPr>
                <w:rFonts w:asciiTheme="minorBidi" w:hAnsiTheme="minorBidi" w:cstheme="minorBidi"/>
                <w:sz w:val="18"/>
                <w:szCs w:val="18"/>
              </w:rPr>
            </w:pPr>
            <w:r w:rsidRPr="00275308">
              <w:rPr>
                <w:rFonts w:asciiTheme="minorBidi" w:hAnsiTheme="minorBidi" w:cstheme="minorBidi"/>
                <w:sz w:val="18"/>
                <w:szCs w:val="18"/>
              </w:rPr>
              <w:t>46%</w:t>
            </w:r>
          </w:p>
        </w:tc>
        <w:tc>
          <w:tcPr>
            <w:tcW w:w="851" w:type="dxa"/>
            <w:vMerge w:val="restart"/>
            <w:hideMark/>
          </w:tcPr>
          <w:p w:rsidR="00473C47" w:rsidRPr="00275308" w:rsidRDefault="00473C47" w:rsidP="00E42417">
            <w:pPr>
              <w:jc w:val="left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  <w:r w:rsidRPr="00275308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+/- 6%</w:t>
            </w:r>
          </w:p>
        </w:tc>
        <w:tc>
          <w:tcPr>
            <w:tcW w:w="1135" w:type="dxa"/>
            <w:vMerge w:val="restart"/>
            <w:noWrap/>
            <w:hideMark/>
          </w:tcPr>
          <w:p w:rsidR="00473C47" w:rsidRPr="00275308" w:rsidRDefault="00473C47" w:rsidP="00E42417">
            <w:pPr>
              <w:jc w:val="left"/>
              <w:rPr>
                <w:rFonts w:asciiTheme="minorBidi" w:hAnsiTheme="minorBidi" w:cstheme="minorBidi"/>
                <w:sz w:val="18"/>
                <w:szCs w:val="18"/>
              </w:rPr>
            </w:pPr>
            <w:r w:rsidRPr="00275308">
              <w:rPr>
                <w:rFonts w:asciiTheme="minorBidi" w:hAnsiTheme="minorBidi" w:cstheme="minorBidi"/>
                <w:sz w:val="18"/>
                <w:szCs w:val="18"/>
              </w:rPr>
              <w:t>40%-52%</w:t>
            </w:r>
          </w:p>
        </w:tc>
        <w:tc>
          <w:tcPr>
            <w:tcW w:w="2693" w:type="dxa"/>
            <w:hideMark/>
          </w:tcPr>
          <w:p w:rsidR="00473C47" w:rsidRPr="00275308" w:rsidRDefault="00473C47" w:rsidP="00E42417">
            <w:pPr>
              <w:jc w:val="left"/>
              <w:rPr>
                <w:rFonts w:asciiTheme="minorBidi" w:hAnsiTheme="minorBidi" w:cstheme="minorBidi"/>
                <w:sz w:val="18"/>
                <w:szCs w:val="18"/>
              </w:rPr>
            </w:pPr>
            <w:r w:rsidRPr="00275308">
              <w:rPr>
                <w:rFonts w:asciiTheme="minorBidi" w:hAnsiTheme="minorBidi" w:cstheme="minorBidi"/>
                <w:sz w:val="18"/>
                <w:szCs w:val="18"/>
                <w:rtl/>
              </w:rPr>
              <w:t xml:space="preserve">40% - ת"א 125 </w:t>
            </w:r>
          </w:p>
        </w:tc>
      </w:tr>
      <w:tr w:rsidR="00473C47" w:rsidRPr="00275308" w:rsidTr="001D342E">
        <w:trPr>
          <w:trHeight w:val="310"/>
        </w:trPr>
        <w:tc>
          <w:tcPr>
            <w:tcW w:w="2787" w:type="dxa"/>
            <w:vMerge/>
            <w:hideMark/>
          </w:tcPr>
          <w:p w:rsidR="00473C47" w:rsidRPr="00275308" w:rsidRDefault="00473C47" w:rsidP="00E42417">
            <w:pPr>
              <w:rPr>
                <w:rFonts w:asciiTheme="minorBidi" w:hAnsiTheme="minorBidi" w:cstheme="minorBidi"/>
                <w:sz w:val="18"/>
                <w:szCs w:val="18"/>
              </w:rPr>
            </w:pPr>
          </w:p>
        </w:tc>
        <w:tc>
          <w:tcPr>
            <w:tcW w:w="1134" w:type="dxa"/>
            <w:hideMark/>
          </w:tcPr>
          <w:p w:rsidR="00473C47" w:rsidRPr="00275308" w:rsidRDefault="00473C47" w:rsidP="00E42417">
            <w:pPr>
              <w:jc w:val="left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 w:rsidRPr="00275308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46.32%</w:t>
            </w:r>
          </w:p>
        </w:tc>
        <w:tc>
          <w:tcPr>
            <w:tcW w:w="992" w:type="dxa"/>
            <w:vMerge/>
            <w:hideMark/>
          </w:tcPr>
          <w:p w:rsidR="00473C47" w:rsidRPr="00275308" w:rsidRDefault="00473C47" w:rsidP="00E42417">
            <w:pPr>
              <w:rPr>
                <w:rFonts w:asciiTheme="minorBidi" w:hAnsiTheme="minorBidi" w:cstheme="minorBidi"/>
                <w:sz w:val="18"/>
                <w:szCs w:val="18"/>
              </w:rPr>
            </w:pPr>
          </w:p>
        </w:tc>
        <w:tc>
          <w:tcPr>
            <w:tcW w:w="851" w:type="dxa"/>
            <w:vMerge/>
            <w:hideMark/>
          </w:tcPr>
          <w:p w:rsidR="00473C47" w:rsidRPr="00275308" w:rsidRDefault="00473C47" w:rsidP="00E42417">
            <w:pPr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</w:p>
        </w:tc>
        <w:tc>
          <w:tcPr>
            <w:tcW w:w="1135" w:type="dxa"/>
            <w:vMerge/>
            <w:hideMark/>
          </w:tcPr>
          <w:p w:rsidR="00473C47" w:rsidRPr="00275308" w:rsidRDefault="00473C47" w:rsidP="00E42417">
            <w:pPr>
              <w:rPr>
                <w:rFonts w:asciiTheme="minorBidi" w:hAnsiTheme="minorBidi" w:cstheme="minorBidi"/>
                <w:sz w:val="18"/>
                <w:szCs w:val="18"/>
              </w:rPr>
            </w:pPr>
          </w:p>
        </w:tc>
        <w:tc>
          <w:tcPr>
            <w:tcW w:w="2693" w:type="dxa"/>
            <w:hideMark/>
          </w:tcPr>
          <w:p w:rsidR="00473C47" w:rsidRPr="00275308" w:rsidRDefault="00473C47" w:rsidP="00E42417">
            <w:pPr>
              <w:jc w:val="left"/>
              <w:rPr>
                <w:rFonts w:asciiTheme="minorBidi" w:hAnsiTheme="minorBidi" w:cstheme="minorBidi"/>
                <w:sz w:val="18"/>
                <w:szCs w:val="18"/>
              </w:rPr>
            </w:pPr>
            <w:r w:rsidRPr="00275308">
              <w:rPr>
                <w:rFonts w:asciiTheme="minorBidi" w:hAnsiTheme="minorBidi" w:cstheme="minorBidi"/>
                <w:sz w:val="18"/>
                <w:szCs w:val="18"/>
                <w:rtl/>
              </w:rPr>
              <w:t xml:space="preserve">60% - </w:t>
            </w:r>
            <w:r w:rsidRPr="00275308">
              <w:rPr>
                <w:rFonts w:asciiTheme="minorBidi" w:hAnsiTheme="minorBidi" w:cstheme="minorBidi"/>
                <w:sz w:val="18"/>
                <w:szCs w:val="18"/>
              </w:rPr>
              <w:t>MSCI World</w:t>
            </w:r>
          </w:p>
        </w:tc>
      </w:tr>
      <w:tr w:rsidR="00473C47" w:rsidRPr="00275308" w:rsidTr="001D342E">
        <w:trPr>
          <w:trHeight w:val="534"/>
        </w:trPr>
        <w:tc>
          <w:tcPr>
            <w:tcW w:w="2787" w:type="dxa"/>
            <w:vMerge w:val="restart"/>
            <w:noWrap/>
            <w:hideMark/>
          </w:tcPr>
          <w:p w:rsidR="00473C47" w:rsidRPr="00275308" w:rsidRDefault="00473C47" w:rsidP="00E42417">
            <w:pPr>
              <w:jc w:val="left"/>
              <w:rPr>
                <w:rFonts w:asciiTheme="minorBidi" w:hAnsiTheme="minorBidi" w:cstheme="minorBidi"/>
                <w:sz w:val="18"/>
                <w:szCs w:val="18"/>
                <w:rtl/>
              </w:rPr>
            </w:pPr>
            <w:r w:rsidRPr="00275308">
              <w:rPr>
                <w:rFonts w:asciiTheme="minorBidi" w:hAnsiTheme="minorBidi" w:cstheme="minorBidi"/>
                <w:sz w:val="18"/>
                <w:szCs w:val="18"/>
                <w:rtl/>
              </w:rPr>
              <w:t>אג"ח ממשלתי (סחיר ולא סחיר ,קרנות נאמנות ,תעודות סל, חוזים ונגזרים)</w:t>
            </w:r>
          </w:p>
        </w:tc>
        <w:tc>
          <w:tcPr>
            <w:tcW w:w="1134" w:type="dxa"/>
            <w:vMerge w:val="restart"/>
            <w:noWrap/>
            <w:hideMark/>
          </w:tcPr>
          <w:p w:rsidR="00473C47" w:rsidRPr="00275308" w:rsidRDefault="00473C47" w:rsidP="00E42417">
            <w:pPr>
              <w:jc w:val="left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 w:rsidRPr="00275308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16.18%</w:t>
            </w:r>
          </w:p>
        </w:tc>
        <w:tc>
          <w:tcPr>
            <w:tcW w:w="992" w:type="dxa"/>
            <w:vMerge w:val="restart"/>
            <w:noWrap/>
            <w:hideMark/>
          </w:tcPr>
          <w:p w:rsidR="00473C47" w:rsidRPr="00275308" w:rsidRDefault="00473C47" w:rsidP="00E42417">
            <w:pPr>
              <w:jc w:val="left"/>
              <w:rPr>
                <w:rFonts w:asciiTheme="minorBidi" w:hAnsiTheme="minorBidi" w:cstheme="minorBidi"/>
                <w:sz w:val="18"/>
                <w:szCs w:val="18"/>
                <w:rtl/>
              </w:rPr>
            </w:pPr>
            <w:r w:rsidRPr="00275308">
              <w:rPr>
                <w:rFonts w:asciiTheme="minorBidi" w:hAnsiTheme="minorBidi" w:cstheme="minorBidi"/>
                <w:sz w:val="18"/>
                <w:szCs w:val="18"/>
              </w:rPr>
              <w:t>18%</w:t>
            </w:r>
          </w:p>
        </w:tc>
        <w:tc>
          <w:tcPr>
            <w:tcW w:w="851" w:type="dxa"/>
            <w:vMerge w:val="restart"/>
            <w:noWrap/>
            <w:hideMark/>
          </w:tcPr>
          <w:p w:rsidR="00473C47" w:rsidRPr="00275308" w:rsidRDefault="00473C47" w:rsidP="00E42417">
            <w:pPr>
              <w:jc w:val="left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  <w:r w:rsidRPr="00275308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+/- 5%</w:t>
            </w:r>
          </w:p>
        </w:tc>
        <w:tc>
          <w:tcPr>
            <w:tcW w:w="1135" w:type="dxa"/>
            <w:vMerge w:val="restart"/>
            <w:noWrap/>
            <w:hideMark/>
          </w:tcPr>
          <w:p w:rsidR="00473C47" w:rsidRPr="00275308" w:rsidRDefault="00473C47" w:rsidP="00E42417">
            <w:pPr>
              <w:jc w:val="left"/>
              <w:rPr>
                <w:rFonts w:asciiTheme="minorBidi" w:hAnsiTheme="minorBidi" w:cstheme="minorBidi"/>
                <w:sz w:val="18"/>
                <w:szCs w:val="18"/>
              </w:rPr>
            </w:pPr>
            <w:r w:rsidRPr="00275308">
              <w:rPr>
                <w:rFonts w:asciiTheme="minorBidi" w:hAnsiTheme="minorBidi" w:cstheme="minorBidi"/>
                <w:sz w:val="18"/>
                <w:szCs w:val="18"/>
              </w:rPr>
              <w:t>13%-23%</w:t>
            </w:r>
          </w:p>
        </w:tc>
        <w:tc>
          <w:tcPr>
            <w:tcW w:w="2693" w:type="dxa"/>
            <w:hideMark/>
          </w:tcPr>
          <w:p w:rsidR="00473C47" w:rsidRPr="00275308" w:rsidRDefault="00473C47" w:rsidP="00E42417">
            <w:pPr>
              <w:jc w:val="left"/>
              <w:rPr>
                <w:rFonts w:asciiTheme="minorBidi" w:hAnsiTheme="minorBidi" w:cstheme="minorBidi"/>
                <w:sz w:val="18"/>
                <w:szCs w:val="18"/>
              </w:rPr>
            </w:pPr>
            <w:r w:rsidRPr="00275308">
              <w:rPr>
                <w:rFonts w:asciiTheme="minorBidi" w:hAnsiTheme="minorBidi" w:cstheme="minorBidi"/>
                <w:sz w:val="18"/>
                <w:szCs w:val="18"/>
                <w:rtl/>
              </w:rPr>
              <w:t>50% מדד ממשלתי שקלי 2-5</w:t>
            </w:r>
          </w:p>
        </w:tc>
      </w:tr>
      <w:tr w:rsidR="00473C47" w:rsidRPr="00275308" w:rsidTr="001D342E">
        <w:trPr>
          <w:trHeight w:val="400"/>
        </w:trPr>
        <w:tc>
          <w:tcPr>
            <w:tcW w:w="2787" w:type="dxa"/>
            <w:vMerge/>
            <w:hideMark/>
          </w:tcPr>
          <w:p w:rsidR="00473C47" w:rsidRPr="00275308" w:rsidRDefault="00473C47" w:rsidP="00E42417">
            <w:pPr>
              <w:rPr>
                <w:rFonts w:asciiTheme="minorBidi" w:hAnsiTheme="minorBidi" w:cstheme="minorBidi"/>
                <w:sz w:val="18"/>
                <w:szCs w:val="18"/>
              </w:rPr>
            </w:pPr>
          </w:p>
        </w:tc>
        <w:tc>
          <w:tcPr>
            <w:tcW w:w="1134" w:type="dxa"/>
            <w:vMerge/>
            <w:hideMark/>
          </w:tcPr>
          <w:p w:rsidR="00473C47" w:rsidRPr="00275308" w:rsidRDefault="00473C47" w:rsidP="00E42417">
            <w:pPr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hideMark/>
          </w:tcPr>
          <w:p w:rsidR="00473C47" w:rsidRPr="00275308" w:rsidRDefault="00473C47" w:rsidP="00E42417">
            <w:pPr>
              <w:rPr>
                <w:rFonts w:asciiTheme="minorBidi" w:hAnsiTheme="minorBidi" w:cstheme="minorBidi"/>
                <w:sz w:val="18"/>
                <w:szCs w:val="18"/>
              </w:rPr>
            </w:pPr>
          </w:p>
        </w:tc>
        <w:tc>
          <w:tcPr>
            <w:tcW w:w="851" w:type="dxa"/>
            <w:vMerge/>
            <w:hideMark/>
          </w:tcPr>
          <w:p w:rsidR="00473C47" w:rsidRPr="00275308" w:rsidRDefault="00473C47" w:rsidP="00E42417">
            <w:pPr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</w:p>
        </w:tc>
        <w:tc>
          <w:tcPr>
            <w:tcW w:w="1135" w:type="dxa"/>
            <w:vMerge/>
            <w:hideMark/>
          </w:tcPr>
          <w:p w:rsidR="00473C47" w:rsidRPr="00275308" w:rsidRDefault="00473C47" w:rsidP="00E42417">
            <w:pPr>
              <w:rPr>
                <w:rFonts w:asciiTheme="minorBidi" w:hAnsiTheme="minorBidi" w:cstheme="minorBidi"/>
                <w:sz w:val="18"/>
                <w:szCs w:val="18"/>
              </w:rPr>
            </w:pPr>
          </w:p>
        </w:tc>
        <w:tc>
          <w:tcPr>
            <w:tcW w:w="2693" w:type="dxa"/>
            <w:hideMark/>
          </w:tcPr>
          <w:p w:rsidR="00473C47" w:rsidRPr="00275308" w:rsidRDefault="00473C47" w:rsidP="00E42417">
            <w:pPr>
              <w:jc w:val="left"/>
              <w:rPr>
                <w:rFonts w:asciiTheme="minorBidi" w:hAnsiTheme="minorBidi" w:cstheme="minorBidi"/>
                <w:sz w:val="18"/>
                <w:szCs w:val="18"/>
                <w:rtl/>
              </w:rPr>
            </w:pPr>
            <w:r w:rsidRPr="00275308">
              <w:rPr>
                <w:rFonts w:asciiTheme="minorBidi" w:hAnsiTheme="minorBidi" w:cstheme="minorBidi"/>
                <w:sz w:val="18"/>
                <w:szCs w:val="18"/>
                <w:rtl/>
              </w:rPr>
              <w:t>50% מדד ממשלתי צמוד 2-5</w:t>
            </w:r>
          </w:p>
        </w:tc>
      </w:tr>
      <w:tr w:rsidR="00473C47" w:rsidRPr="00275308" w:rsidTr="001D342E">
        <w:trPr>
          <w:trHeight w:val="412"/>
        </w:trPr>
        <w:tc>
          <w:tcPr>
            <w:tcW w:w="2787" w:type="dxa"/>
            <w:hideMark/>
          </w:tcPr>
          <w:p w:rsidR="00473C47" w:rsidRPr="00275308" w:rsidRDefault="00473C47" w:rsidP="00E42417">
            <w:pPr>
              <w:jc w:val="left"/>
              <w:rPr>
                <w:rFonts w:asciiTheme="minorBidi" w:hAnsiTheme="minorBidi" w:cstheme="minorBidi"/>
                <w:sz w:val="18"/>
                <w:szCs w:val="18"/>
                <w:rtl/>
              </w:rPr>
            </w:pPr>
            <w:r w:rsidRPr="00275308">
              <w:rPr>
                <w:rFonts w:asciiTheme="minorBidi" w:hAnsiTheme="minorBidi" w:cstheme="minorBidi"/>
                <w:sz w:val="18"/>
                <w:szCs w:val="18"/>
                <w:rtl/>
              </w:rPr>
              <w:t xml:space="preserve">אג"ח </w:t>
            </w:r>
            <w:proofErr w:type="spellStart"/>
            <w:r w:rsidRPr="00275308">
              <w:rPr>
                <w:rFonts w:asciiTheme="minorBidi" w:hAnsiTheme="minorBidi" w:cstheme="minorBidi"/>
                <w:sz w:val="18"/>
                <w:szCs w:val="18"/>
                <w:rtl/>
              </w:rPr>
              <w:t>קונצרני</w:t>
            </w:r>
            <w:proofErr w:type="spellEnd"/>
            <w:r w:rsidRPr="00275308">
              <w:rPr>
                <w:rFonts w:asciiTheme="minorBidi" w:hAnsiTheme="minorBidi" w:cstheme="minorBidi"/>
                <w:sz w:val="18"/>
                <w:szCs w:val="18"/>
                <w:rtl/>
              </w:rPr>
              <w:t xml:space="preserve"> (סחיר ולא סחיר ,קרנות נאמנות ,תעודות סל, חוזים ונגזרים)</w:t>
            </w:r>
          </w:p>
        </w:tc>
        <w:tc>
          <w:tcPr>
            <w:tcW w:w="1134" w:type="dxa"/>
            <w:vMerge w:val="restart"/>
            <w:noWrap/>
            <w:hideMark/>
          </w:tcPr>
          <w:p w:rsidR="00473C47" w:rsidRPr="00275308" w:rsidRDefault="00473C47" w:rsidP="00E42417">
            <w:pPr>
              <w:jc w:val="left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 w:rsidRPr="00275308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19.55%</w:t>
            </w:r>
          </w:p>
        </w:tc>
        <w:tc>
          <w:tcPr>
            <w:tcW w:w="992" w:type="dxa"/>
            <w:vMerge w:val="restart"/>
            <w:noWrap/>
            <w:hideMark/>
          </w:tcPr>
          <w:p w:rsidR="00473C47" w:rsidRPr="00275308" w:rsidRDefault="00473C47" w:rsidP="00E42417">
            <w:pPr>
              <w:jc w:val="left"/>
              <w:rPr>
                <w:rFonts w:asciiTheme="minorBidi" w:hAnsiTheme="minorBidi" w:cstheme="minorBidi"/>
                <w:sz w:val="18"/>
                <w:szCs w:val="18"/>
              </w:rPr>
            </w:pPr>
            <w:r w:rsidRPr="00275308">
              <w:rPr>
                <w:rFonts w:asciiTheme="minorBidi" w:hAnsiTheme="minorBidi" w:cstheme="minorBidi"/>
                <w:sz w:val="18"/>
                <w:szCs w:val="18"/>
              </w:rPr>
              <w:t>14%</w:t>
            </w:r>
          </w:p>
        </w:tc>
        <w:tc>
          <w:tcPr>
            <w:tcW w:w="851" w:type="dxa"/>
            <w:vMerge w:val="restart"/>
            <w:noWrap/>
            <w:hideMark/>
          </w:tcPr>
          <w:p w:rsidR="00473C47" w:rsidRPr="00275308" w:rsidRDefault="00473C47" w:rsidP="00E42417">
            <w:pPr>
              <w:jc w:val="left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  <w:r w:rsidRPr="00275308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+/- 6%</w:t>
            </w:r>
          </w:p>
        </w:tc>
        <w:tc>
          <w:tcPr>
            <w:tcW w:w="1135" w:type="dxa"/>
            <w:vMerge w:val="restart"/>
            <w:noWrap/>
            <w:hideMark/>
          </w:tcPr>
          <w:p w:rsidR="00473C47" w:rsidRPr="00275308" w:rsidRDefault="00473C47" w:rsidP="00E42417">
            <w:pPr>
              <w:jc w:val="left"/>
              <w:rPr>
                <w:rFonts w:asciiTheme="minorBidi" w:hAnsiTheme="minorBidi" w:cstheme="minorBidi"/>
                <w:sz w:val="18"/>
                <w:szCs w:val="18"/>
              </w:rPr>
            </w:pPr>
            <w:r w:rsidRPr="00275308">
              <w:rPr>
                <w:rFonts w:asciiTheme="minorBidi" w:hAnsiTheme="minorBidi" w:cstheme="minorBidi"/>
                <w:sz w:val="18"/>
                <w:szCs w:val="18"/>
              </w:rPr>
              <w:t>8%-20%</w:t>
            </w:r>
          </w:p>
        </w:tc>
        <w:tc>
          <w:tcPr>
            <w:tcW w:w="2693" w:type="dxa"/>
            <w:hideMark/>
          </w:tcPr>
          <w:p w:rsidR="00473C47" w:rsidRPr="00275308" w:rsidRDefault="00473C47" w:rsidP="00E42417">
            <w:pPr>
              <w:jc w:val="left"/>
              <w:rPr>
                <w:rFonts w:asciiTheme="minorBidi" w:hAnsiTheme="minorBidi" w:cstheme="minorBidi"/>
                <w:sz w:val="18"/>
                <w:szCs w:val="18"/>
              </w:rPr>
            </w:pPr>
            <w:r w:rsidRPr="00275308">
              <w:rPr>
                <w:rFonts w:asciiTheme="minorBidi" w:hAnsiTheme="minorBidi" w:cstheme="minorBidi"/>
                <w:sz w:val="18"/>
                <w:szCs w:val="18"/>
                <w:rtl/>
              </w:rPr>
              <w:t xml:space="preserve">80% </w:t>
            </w:r>
            <w:proofErr w:type="spellStart"/>
            <w:r w:rsidRPr="00275308">
              <w:rPr>
                <w:rFonts w:asciiTheme="minorBidi" w:hAnsiTheme="minorBidi" w:cstheme="minorBidi"/>
                <w:sz w:val="18"/>
                <w:szCs w:val="18"/>
                <w:rtl/>
              </w:rPr>
              <w:t>תלבונד</w:t>
            </w:r>
            <w:proofErr w:type="spellEnd"/>
            <w:r w:rsidRPr="00275308">
              <w:rPr>
                <w:rFonts w:asciiTheme="minorBidi" w:hAnsiTheme="minorBidi" w:cstheme="minorBidi"/>
                <w:sz w:val="18"/>
                <w:szCs w:val="18"/>
                <w:rtl/>
              </w:rPr>
              <w:t xml:space="preserve"> 60</w:t>
            </w:r>
          </w:p>
        </w:tc>
      </w:tr>
      <w:tr w:rsidR="00473C47" w:rsidRPr="00275308" w:rsidTr="001D342E">
        <w:trPr>
          <w:trHeight w:val="500"/>
        </w:trPr>
        <w:tc>
          <w:tcPr>
            <w:tcW w:w="2787" w:type="dxa"/>
            <w:hideMark/>
          </w:tcPr>
          <w:p w:rsidR="00473C47" w:rsidRPr="00275308" w:rsidRDefault="00473C47" w:rsidP="00E42417">
            <w:pPr>
              <w:jc w:val="left"/>
              <w:rPr>
                <w:rFonts w:asciiTheme="minorBidi" w:hAnsiTheme="minorBidi" w:cstheme="minorBidi"/>
                <w:sz w:val="18"/>
                <w:szCs w:val="18"/>
                <w:rtl/>
              </w:rPr>
            </w:pPr>
            <w:r w:rsidRPr="00275308">
              <w:rPr>
                <w:rFonts w:asciiTheme="minorBidi" w:hAnsiTheme="minorBidi" w:cstheme="minorBidi"/>
                <w:sz w:val="18"/>
                <w:szCs w:val="18"/>
              </w:rPr>
              <w:t> </w:t>
            </w:r>
          </w:p>
        </w:tc>
        <w:tc>
          <w:tcPr>
            <w:tcW w:w="1134" w:type="dxa"/>
            <w:vMerge/>
            <w:hideMark/>
          </w:tcPr>
          <w:p w:rsidR="00473C47" w:rsidRPr="00275308" w:rsidRDefault="00473C47" w:rsidP="00E42417">
            <w:pPr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hideMark/>
          </w:tcPr>
          <w:p w:rsidR="00473C47" w:rsidRPr="00275308" w:rsidRDefault="00473C47" w:rsidP="00E42417">
            <w:pPr>
              <w:rPr>
                <w:rFonts w:asciiTheme="minorBidi" w:hAnsiTheme="minorBidi" w:cstheme="minorBidi"/>
                <w:sz w:val="18"/>
                <w:szCs w:val="18"/>
              </w:rPr>
            </w:pPr>
          </w:p>
        </w:tc>
        <w:tc>
          <w:tcPr>
            <w:tcW w:w="851" w:type="dxa"/>
            <w:vMerge/>
            <w:hideMark/>
          </w:tcPr>
          <w:p w:rsidR="00473C47" w:rsidRPr="00275308" w:rsidRDefault="00473C47" w:rsidP="00E42417">
            <w:pPr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</w:p>
        </w:tc>
        <w:tc>
          <w:tcPr>
            <w:tcW w:w="1135" w:type="dxa"/>
            <w:vMerge/>
            <w:hideMark/>
          </w:tcPr>
          <w:p w:rsidR="00473C47" w:rsidRPr="00275308" w:rsidRDefault="00473C47" w:rsidP="00E42417">
            <w:pPr>
              <w:rPr>
                <w:rFonts w:asciiTheme="minorBidi" w:hAnsiTheme="minorBidi" w:cstheme="minorBidi"/>
                <w:sz w:val="18"/>
                <w:szCs w:val="18"/>
              </w:rPr>
            </w:pPr>
          </w:p>
        </w:tc>
        <w:tc>
          <w:tcPr>
            <w:tcW w:w="2693" w:type="dxa"/>
            <w:noWrap/>
            <w:hideMark/>
          </w:tcPr>
          <w:p w:rsidR="00473C47" w:rsidRPr="00275308" w:rsidRDefault="00473C47" w:rsidP="00E42417">
            <w:pPr>
              <w:jc w:val="left"/>
              <w:rPr>
                <w:rFonts w:asciiTheme="minorBidi" w:hAnsiTheme="minorBidi" w:cstheme="minorBidi"/>
                <w:sz w:val="18"/>
                <w:szCs w:val="18"/>
              </w:rPr>
            </w:pPr>
            <w:r w:rsidRPr="00275308">
              <w:rPr>
                <w:rFonts w:asciiTheme="minorBidi" w:hAnsiTheme="minorBidi" w:cstheme="minorBidi"/>
                <w:sz w:val="18"/>
                <w:szCs w:val="18"/>
                <w:rtl/>
              </w:rPr>
              <w:t xml:space="preserve">20% </w:t>
            </w:r>
            <w:r w:rsidRPr="00275308">
              <w:rPr>
                <w:rFonts w:asciiTheme="minorBidi" w:hAnsiTheme="minorBidi" w:cstheme="minorBidi"/>
                <w:sz w:val="18"/>
                <w:szCs w:val="18"/>
              </w:rPr>
              <w:t>Barclays Global Aggregate Index</w:t>
            </w:r>
          </w:p>
        </w:tc>
      </w:tr>
      <w:tr w:rsidR="00473C47" w:rsidRPr="00275308" w:rsidTr="001D342E">
        <w:trPr>
          <w:trHeight w:val="281"/>
        </w:trPr>
        <w:tc>
          <w:tcPr>
            <w:tcW w:w="2787" w:type="dxa"/>
            <w:hideMark/>
          </w:tcPr>
          <w:p w:rsidR="00473C47" w:rsidRPr="00275308" w:rsidRDefault="00473C47" w:rsidP="00E42417">
            <w:pPr>
              <w:jc w:val="left"/>
              <w:rPr>
                <w:rFonts w:asciiTheme="minorBidi" w:hAnsiTheme="minorBidi" w:cstheme="minorBidi"/>
                <w:sz w:val="18"/>
                <w:szCs w:val="18"/>
                <w:rtl/>
              </w:rPr>
            </w:pPr>
            <w:r w:rsidRPr="00275308">
              <w:rPr>
                <w:rFonts w:asciiTheme="minorBidi" w:hAnsiTheme="minorBidi" w:cstheme="minorBidi"/>
                <w:sz w:val="18"/>
                <w:szCs w:val="18"/>
                <w:rtl/>
              </w:rPr>
              <w:t>נדל"ן</w:t>
            </w:r>
          </w:p>
        </w:tc>
        <w:tc>
          <w:tcPr>
            <w:tcW w:w="1134" w:type="dxa"/>
            <w:noWrap/>
            <w:hideMark/>
          </w:tcPr>
          <w:p w:rsidR="00473C47" w:rsidRPr="00275308" w:rsidRDefault="00473C47" w:rsidP="00E42417">
            <w:pPr>
              <w:jc w:val="left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 w:rsidRPr="00275308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0.75%</w:t>
            </w:r>
          </w:p>
        </w:tc>
        <w:tc>
          <w:tcPr>
            <w:tcW w:w="992" w:type="dxa"/>
            <w:noWrap/>
            <w:hideMark/>
          </w:tcPr>
          <w:p w:rsidR="00473C47" w:rsidRPr="00275308" w:rsidRDefault="00473C47" w:rsidP="00E42417">
            <w:pPr>
              <w:jc w:val="left"/>
              <w:rPr>
                <w:rFonts w:asciiTheme="minorBidi" w:hAnsiTheme="minorBidi" w:cstheme="minorBidi"/>
                <w:sz w:val="18"/>
                <w:szCs w:val="18"/>
              </w:rPr>
            </w:pPr>
            <w:r w:rsidRPr="00275308">
              <w:rPr>
                <w:rFonts w:asciiTheme="minorBidi" w:hAnsiTheme="minorBidi" w:cstheme="minorBidi"/>
                <w:sz w:val="18"/>
                <w:szCs w:val="18"/>
              </w:rPr>
              <w:t>4.0%</w:t>
            </w:r>
          </w:p>
        </w:tc>
        <w:tc>
          <w:tcPr>
            <w:tcW w:w="851" w:type="dxa"/>
            <w:noWrap/>
            <w:hideMark/>
          </w:tcPr>
          <w:p w:rsidR="00473C47" w:rsidRPr="00275308" w:rsidRDefault="00473C47" w:rsidP="00E42417">
            <w:pPr>
              <w:jc w:val="left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  <w:r w:rsidRPr="00275308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+/- 5%</w:t>
            </w:r>
          </w:p>
        </w:tc>
        <w:tc>
          <w:tcPr>
            <w:tcW w:w="1135" w:type="dxa"/>
            <w:noWrap/>
            <w:hideMark/>
          </w:tcPr>
          <w:p w:rsidR="00473C47" w:rsidRPr="00275308" w:rsidRDefault="00473C47" w:rsidP="00E42417">
            <w:pPr>
              <w:jc w:val="left"/>
              <w:rPr>
                <w:rFonts w:asciiTheme="minorBidi" w:hAnsiTheme="minorBidi" w:cstheme="minorBidi"/>
                <w:sz w:val="18"/>
                <w:szCs w:val="18"/>
              </w:rPr>
            </w:pPr>
            <w:r w:rsidRPr="00275308">
              <w:rPr>
                <w:rFonts w:asciiTheme="minorBidi" w:hAnsiTheme="minorBidi" w:cstheme="minorBidi"/>
                <w:sz w:val="18"/>
                <w:szCs w:val="18"/>
              </w:rPr>
              <w:t>0%-9%</w:t>
            </w:r>
          </w:p>
        </w:tc>
        <w:tc>
          <w:tcPr>
            <w:tcW w:w="2693" w:type="dxa"/>
            <w:noWrap/>
            <w:hideMark/>
          </w:tcPr>
          <w:p w:rsidR="00473C47" w:rsidRPr="00275308" w:rsidRDefault="00473C47" w:rsidP="00E42417">
            <w:pPr>
              <w:jc w:val="left"/>
              <w:rPr>
                <w:rFonts w:asciiTheme="minorBidi" w:hAnsiTheme="minorBidi" w:cstheme="minorBidi"/>
                <w:sz w:val="18"/>
                <w:szCs w:val="18"/>
              </w:rPr>
            </w:pPr>
            <w:r w:rsidRPr="00275308">
              <w:rPr>
                <w:rFonts w:asciiTheme="minorBidi" w:hAnsiTheme="minorBidi" w:cstheme="minorBidi"/>
                <w:sz w:val="18"/>
                <w:szCs w:val="18"/>
                <w:rtl/>
              </w:rPr>
              <w:t>ממשלתי צמוד 5-10</w:t>
            </w:r>
          </w:p>
        </w:tc>
      </w:tr>
      <w:tr w:rsidR="00473C47" w:rsidRPr="00275308" w:rsidTr="001D342E">
        <w:trPr>
          <w:trHeight w:val="534"/>
        </w:trPr>
        <w:tc>
          <w:tcPr>
            <w:tcW w:w="2787" w:type="dxa"/>
            <w:hideMark/>
          </w:tcPr>
          <w:p w:rsidR="00473C47" w:rsidRPr="00275308" w:rsidRDefault="00473C47" w:rsidP="00E42417">
            <w:pPr>
              <w:jc w:val="left"/>
              <w:rPr>
                <w:rFonts w:asciiTheme="minorBidi" w:hAnsiTheme="minorBidi" w:cstheme="minorBidi"/>
                <w:sz w:val="18"/>
                <w:szCs w:val="18"/>
                <w:rtl/>
              </w:rPr>
            </w:pPr>
            <w:r w:rsidRPr="00275308">
              <w:rPr>
                <w:rFonts w:asciiTheme="minorBidi" w:hAnsiTheme="minorBidi" w:cstheme="minorBidi"/>
                <w:sz w:val="18"/>
                <w:szCs w:val="18"/>
                <w:rtl/>
              </w:rPr>
              <w:t>קרנות השקעה+ קרנות גידור</w:t>
            </w:r>
          </w:p>
        </w:tc>
        <w:tc>
          <w:tcPr>
            <w:tcW w:w="1134" w:type="dxa"/>
            <w:noWrap/>
            <w:hideMark/>
          </w:tcPr>
          <w:p w:rsidR="00473C47" w:rsidRPr="00275308" w:rsidRDefault="00473C47" w:rsidP="00E42417">
            <w:pPr>
              <w:jc w:val="left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 w:rsidRPr="00275308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9.66%</w:t>
            </w:r>
          </w:p>
        </w:tc>
        <w:tc>
          <w:tcPr>
            <w:tcW w:w="992" w:type="dxa"/>
            <w:noWrap/>
            <w:hideMark/>
          </w:tcPr>
          <w:p w:rsidR="00473C47" w:rsidRPr="00275308" w:rsidRDefault="00473C47" w:rsidP="00E42417">
            <w:pPr>
              <w:jc w:val="left"/>
              <w:rPr>
                <w:rFonts w:asciiTheme="minorBidi" w:hAnsiTheme="minorBidi" w:cstheme="minorBidi"/>
                <w:sz w:val="18"/>
                <w:szCs w:val="18"/>
              </w:rPr>
            </w:pPr>
            <w:r w:rsidRPr="00275308">
              <w:rPr>
                <w:rFonts w:asciiTheme="minorBidi" w:hAnsiTheme="minorBidi" w:cstheme="minorBidi"/>
                <w:sz w:val="18"/>
                <w:szCs w:val="18"/>
              </w:rPr>
              <w:t>11.0%</w:t>
            </w:r>
          </w:p>
        </w:tc>
        <w:tc>
          <w:tcPr>
            <w:tcW w:w="851" w:type="dxa"/>
            <w:noWrap/>
            <w:hideMark/>
          </w:tcPr>
          <w:p w:rsidR="00473C47" w:rsidRPr="00275308" w:rsidRDefault="00473C47" w:rsidP="00E42417">
            <w:pPr>
              <w:jc w:val="left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  <w:r w:rsidRPr="00275308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+/- 5%</w:t>
            </w:r>
          </w:p>
        </w:tc>
        <w:tc>
          <w:tcPr>
            <w:tcW w:w="1135" w:type="dxa"/>
            <w:noWrap/>
            <w:hideMark/>
          </w:tcPr>
          <w:p w:rsidR="00473C47" w:rsidRPr="00275308" w:rsidRDefault="00473C47" w:rsidP="00E42417">
            <w:pPr>
              <w:jc w:val="left"/>
              <w:rPr>
                <w:rFonts w:asciiTheme="minorBidi" w:hAnsiTheme="minorBidi" w:cstheme="minorBidi"/>
                <w:sz w:val="18"/>
                <w:szCs w:val="18"/>
              </w:rPr>
            </w:pPr>
            <w:r w:rsidRPr="00275308">
              <w:rPr>
                <w:rFonts w:asciiTheme="minorBidi" w:hAnsiTheme="minorBidi" w:cstheme="minorBidi"/>
                <w:sz w:val="18"/>
                <w:szCs w:val="18"/>
              </w:rPr>
              <w:t>6%-16%</w:t>
            </w:r>
          </w:p>
        </w:tc>
        <w:tc>
          <w:tcPr>
            <w:tcW w:w="2693" w:type="dxa"/>
            <w:hideMark/>
          </w:tcPr>
          <w:p w:rsidR="00473C47" w:rsidRPr="00275308" w:rsidRDefault="00473C47" w:rsidP="00E42417">
            <w:pPr>
              <w:jc w:val="left"/>
              <w:rPr>
                <w:rFonts w:asciiTheme="minorBidi" w:hAnsiTheme="minorBidi" w:cstheme="minorBidi"/>
                <w:sz w:val="18"/>
                <w:szCs w:val="18"/>
              </w:rPr>
            </w:pPr>
            <w:r w:rsidRPr="00275308">
              <w:rPr>
                <w:rFonts w:asciiTheme="minorBidi" w:hAnsiTheme="minorBidi" w:cstheme="minorBidi"/>
                <w:sz w:val="18"/>
                <w:szCs w:val="18"/>
                <w:rtl/>
              </w:rPr>
              <w:t xml:space="preserve"> מדד </w:t>
            </w:r>
            <w:r w:rsidRPr="00275308">
              <w:rPr>
                <w:rFonts w:asciiTheme="minorBidi" w:hAnsiTheme="minorBidi" w:cstheme="minorBidi"/>
                <w:sz w:val="18"/>
                <w:szCs w:val="18"/>
              </w:rPr>
              <w:t>HFRI WORLD</w:t>
            </w:r>
          </w:p>
        </w:tc>
      </w:tr>
      <w:tr w:rsidR="00473C47" w:rsidRPr="00275308" w:rsidTr="001D342E">
        <w:trPr>
          <w:trHeight w:val="281"/>
        </w:trPr>
        <w:tc>
          <w:tcPr>
            <w:tcW w:w="2787" w:type="dxa"/>
            <w:hideMark/>
          </w:tcPr>
          <w:p w:rsidR="00473C47" w:rsidRPr="00275308" w:rsidRDefault="00473C47" w:rsidP="00E42417">
            <w:pPr>
              <w:jc w:val="left"/>
              <w:rPr>
                <w:rFonts w:asciiTheme="minorBidi" w:hAnsiTheme="minorBidi" w:cstheme="minorBidi"/>
                <w:sz w:val="18"/>
                <w:szCs w:val="18"/>
                <w:rtl/>
              </w:rPr>
            </w:pPr>
            <w:r w:rsidRPr="00275308">
              <w:rPr>
                <w:rFonts w:asciiTheme="minorBidi" w:hAnsiTheme="minorBidi" w:cstheme="minorBidi"/>
                <w:sz w:val="18"/>
                <w:szCs w:val="18"/>
                <w:rtl/>
              </w:rPr>
              <w:t>הלוואות לחברות + הלוואות עמיתים</w:t>
            </w:r>
          </w:p>
        </w:tc>
        <w:tc>
          <w:tcPr>
            <w:tcW w:w="1134" w:type="dxa"/>
            <w:noWrap/>
            <w:hideMark/>
          </w:tcPr>
          <w:p w:rsidR="00473C47" w:rsidRPr="00275308" w:rsidRDefault="00473C47" w:rsidP="00E42417">
            <w:pPr>
              <w:jc w:val="left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 w:rsidRPr="00275308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1.59%</w:t>
            </w:r>
          </w:p>
        </w:tc>
        <w:tc>
          <w:tcPr>
            <w:tcW w:w="992" w:type="dxa"/>
            <w:noWrap/>
            <w:hideMark/>
          </w:tcPr>
          <w:p w:rsidR="00473C47" w:rsidRPr="00275308" w:rsidRDefault="00473C47" w:rsidP="00E42417">
            <w:pPr>
              <w:jc w:val="left"/>
              <w:rPr>
                <w:rFonts w:asciiTheme="minorBidi" w:hAnsiTheme="minorBidi" w:cstheme="minorBidi"/>
                <w:sz w:val="18"/>
                <w:szCs w:val="18"/>
              </w:rPr>
            </w:pPr>
            <w:r w:rsidRPr="00275308">
              <w:rPr>
                <w:rFonts w:asciiTheme="minorBidi" w:hAnsiTheme="minorBidi" w:cstheme="minorBidi"/>
                <w:sz w:val="18"/>
                <w:szCs w:val="18"/>
              </w:rPr>
              <w:t>3.0%</w:t>
            </w:r>
          </w:p>
        </w:tc>
        <w:tc>
          <w:tcPr>
            <w:tcW w:w="851" w:type="dxa"/>
            <w:noWrap/>
            <w:hideMark/>
          </w:tcPr>
          <w:p w:rsidR="00473C47" w:rsidRPr="00275308" w:rsidRDefault="00473C47" w:rsidP="00E42417">
            <w:pPr>
              <w:jc w:val="left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  <w:r w:rsidRPr="00275308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+/- 5%</w:t>
            </w:r>
          </w:p>
        </w:tc>
        <w:tc>
          <w:tcPr>
            <w:tcW w:w="1135" w:type="dxa"/>
            <w:noWrap/>
            <w:hideMark/>
          </w:tcPr>
          <w:p w:rsidR="00473C47" w:rsidRPr="00275308" w:rsidRDefault="00473C47" w:rsidP="00E42417">
            <w:pPr>
              <w:jc w:val="left"/>
              <w:rPr>
                <w:rFonts w:asciiTheme="minorBidi" w:hAnsiTheme="minorBidi" w:cstheme="minorBidi"/>
                <w:sz w:val="18"/>
                <w:szCs w:val="18"/>
              </w:rPr>
            </w:pPr>
            <w:r w:rsidRPr="00275308">
              <w:rPr>
                <w:rFonts w:asciiTheme="minorBidi" w:hAnsiTheme="minorBidi" w:cstheme="minorBidi"/>
                <w:sz w:val="18"/>
                <w:szCs w:val="18"/>
              </w:rPr>
              <w:t>0%-8%</w:t>
            </w:r>
          </w:p>
        </w:tc>
        <w:tc>
          <w:tcPr>
            <w:tcW w:w="2693" w:type="dxa"/>
            <w:noWrap/>
            <w:hideMark/>
          </w:tcPr>
          <w:p w:rsidR="00473C47" w:rsidRPr="00275308" w:rsidRDefault="00473C47" w:rsidP="00E42417">
            <w:pPr>
              <w:jc w:val="left"/>
              <w:rPr>
                <w:rFonts w:asciiTheme="minorBidi" w:hAnsiTheme="minorBidi" w:cstheme="minorBidi"/>
                <w:sz w:val="18"/>
                <w:szCs w:val="18"/>
              </w:rPr>
            </w:pPr>
            <w:r w:rsidRPr="00275308">
              <w:rPr>
                <w:rFonts w:asciiTheme="minorBidi" w:hAnsiTheme="minorBidi" w:cstheme="minorBidi"/>
                <w:sz w:val="18"/>
                <w:szCs w:val="18"/>
                <w:rtl/>
              </w:rPr>
              <w:t>ממשלתי לא צמוד 2-5</w:t>
            </w:r>
          </w:p>
        </w:tc>
      </w:tr>
      <w:tr w:rsidR="00473C47" w:rsidRPr="00275308" w:rsidTr="001D342E">
        <w:trPr>
          <w:trHeight w:val="295"/>
        </w:trPr>
        <w:tc>
          <w:tcPr>
            <w:tcW w:w="2787" w:type="dxa"/>
            <w:noWrap/>
            <w:hideMark/>
          </w:tcPr>
          <w:p w:rsidR="00473C47" w:rsidRPr="00275308" w:rsidRDefault="00473C47" w:rsidP="00E42417">
            <w:pPr>
              <w:jc w:val="left"/>
              <w:rPr>
                <w:rFonts w:asciiTheme="minorBidi" w:hAnsiTheme="minorBidi" w:cstheme="minorBidi"/>
                <w:sz w:val="18"/>
                <w:szCs w:val="18"/>
                <w:rtl/>
              </w:rPr>
            </w:pPr>
            <w:r w:rsidRPr="00275308">
              <w:rPr>
                <w:rFonts w:asciiTheme="minorBidi" w:hAnsiTheme="minorBidi" w:cstheme="minorBidi"/>
                <w:sz w:val="18"/>
                <w:szCs w:val="18"/>
                <w:rtl/>
              </w:rPr>
              <w:t>אחר (</w:t>
            </w:r>
            <w:proofErr w:type="spellStart"/>
            <w:r w:rsidRPr="00275308">
              <w:rPr>
                <w:rFonts w:asciiTheme="minorBidi" w:hAnsiTheme="minorBidi" w:cstheme="minorBidi"/>
                <w:sz w:val="18"/>
                <w:szCs w:val="18"/>
                <w:rtl/>
              </w:rPr>
              <w:t>מזומן,פקדונות,סחורות</w:t>
            </w:r>
            <w:proofErr w:type="spellEnd"/>
            <w:r w:rsidRPr="00275308">
              <w:rPr>
                <w:rFonts w:asciiTheme="minorBidi" w:hAnsiTheme="minorBidi" w:cstheme="minorBidi"/>
                <w:sz w:val="18"/>
                <w:szCs w:val="18"/>
                <w:rtl/>
              </w:rPr>
              <w:t>)</w:t>
            </w:r>
          </w:p>
        </w:tc>
        <w:tc>
          <w:tcPr>
            <w:tcW w:w="1134" w:type="dxa"/>
            <w:noWrap/>
            <w:hideMark/>
          </w:tcPr>
          <w:p w:rsidR="00473C47" w:rsidRPr="00275308" w:rsidRDefault="00473C47" w:rsidP="00E42417">
            <w:pPr>
              <w:jc w:val="left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 w:rsidRPr="00275308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9.41%</w:t>
            </w:r>
          </w:p>
        </w:tc>
        <w:tc>
          <w:tcPr>
            <w:tcW w:w="992" w:type="dxa"/>
            <w:noWrap/>
            <w:hideMark/>
          </w:tcPr>
          <w:p w:rsidR="00473C47" w:rsidRPr="00275308" w:rsidRDefault="00473C47" w:rsidP="00E42417">
            <w:pPr>
              <w:jc w:val="left"/>
              <w:rPr>
                <w:rFonts w:asciiTheme="minorBidi" w:hAnsiTheme="minorBidi" w:cstheme="minorBidi"/>
                <w:sz w:val="18"/>
                <w:szCs w:val="18"/>
              </w:rPr>
            </w:pPr>
            <w:r w:rsidRPr="00275308">
              <w:rPr>
                <w:rFonts w:asciiTheme="minorBidi" w:hAnsiTheme="minorBidi" w:cstheme="minorBidi"/>
                <w:sz w:val="18"/>
                <w:szCs w:val="18"/>
              </w:rPr>
              <w:t>13.0%</w:t>
            </w:r>
          </w:p>
        </w:tc>
        <w:tc>
          <w:tcPr>
            <w:tcW w:w="851" w:type="dxa"/>
            <w:noWrap/>
            <w:hideMark/>
          </w:tcPr>
          <w:p w:rsidR="00473C47" w:rsidRPr="00275308" w:rsidRDefault="00473C47" w:rsidP="00E42417">
            <w:pPr>
              <w:jc w:val="left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  <w:r w:rsidRPr="00275308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+/- 5%</w:t>
            </w:r>
          </w:p>
        </w:tc>
        <w:tc>
          <w:tcPr>
            <w:tcW w:w="1135" w:type="dxa"/>
            <w:noWrap/>
            <w:hideMark/>
          </w:tcPr>
          <w:p w:rsidR="00473C47" w:rsidRPr="00275308" w:rsidRDefault="00473C47" w:rsidP="00E42417">
            <w:pPr>
              <w:jc w:val="left"/>
              <w:rPr>
                <w:rFonts w:asciiTheme="minorBidi" w:hAnsiTheme="minorBidi" w:cstheme="minorBidi"/>
                <w:sz w:val="18"/>
                <w:szCs w:val="18"/>
              </w:rPr>
            </w:pPr>
            <w:r w:rsidRPr="00275308">
              <w:rPr>
                <w:rFonts w:asciiTheme="minorBidi" w:hAnsiTheme="minorBidi" w:cstheme="minorBidi"/>
                <w:sz w:val="18"/>
                <w:szCs w:val="18"/>
              </w:rPr>
              <w:t>8%-18%</w:t>
            </w:r>
          </w:p>
        </w:tc>
        <w:tc>
          <w:tcPr>
            <w:tcW w:w="2693" w:type="dxa"/>
            <w:noWrap/>
            <w:hideMark/>
          </w:tcPr>
          <w:p w:rsidR="00473C47" w:rsidRPr="00275308" w:rsidRDefault="00473C47" w:rsidP="00E42417">
            <w:pPr>
              <w:jc w:val="left"/>
              <w:rPr>
                <w:rFonts w:asciiTheme="minorBidi" w:hAnsiTheme="minorBidi" w:cstheme="minorBidi"/>
                <w:sz w:val="18"/>
                <w:szCs w:val="18"/>
              </w:rPr>
            </w:pPr>
            <w:r w:rsidRPr="00275308">
              <w:rPr>
                <w:rFonts w:asciiTheme="minorBidi" w:hAnsiTheme="minorBidi" w:cstheme="minorBidi"/>
                <w:sz w:val="18"/>
                <w:szCs w:val="18"/>
                <w:rtl/>
              </w:rPr>
              <w:t>ריבית בנק ישראל</w:t>
            </w:r>
          </w:p>
        </w:tc>
      </w:tr>
      <w:tr w:rsidR="00473C47" w:rsidRPr="00275308" w:rsidTr="001D342E">
        <w:trPr>
          <w:trHeight w:val="295"/>
        </w:trPr>
        <w:tc>
          <w:tcPr>
            <w:tcW w:w="2787" w:type="dxa"/>
            <w:noWrap/>
            <w:hideMark/>
          </w:tcPr>
          <w:p w:rsidR="00473C47" w:rsidRPr="00275308" w:rsidRDefault="00473C47" w:rsidP="00E42417">
            <w:pPr>
              <w:jc w:val="left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 w:rsidRPr="00275308"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  <w:t>סה"כ</w:t>
            </w:r>
          </w:p>
        </w:tc>
        <w:tc>
          <w:tcPr>
            <w:tcW w:w="1134" w:type="dxa"/>
            <w:noWrap/>
            <w:hideMark/>
          </w:tcPr>
          <w:p w:rsidR="00473C47" w:rsidRPr="00275308" w:rsidRDefault="00473C47" w:rsidP="00E42417">
            <w:pPr>
              <w:jc w:val="left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 w:rsidRPr="00275308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103.46%</w:t>
            </w:r>
          </w:p>
        </w:tc>
        <w:tc>
          <w:tcPr>
            <w:tcW w:w="992" w:type="dxa"/>
            <w:noWrap/>
            <w:hideMark/>
          </w:tcPr>
          <w:p w:rsidR="00473C47" w:rsidRPr="00275308" w:rsidRDefault="00473C47" w:rsidP="00E42417">
            <w:pPr>
              <w:jc w:val="left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  <w:r w:rsidRPr="00275308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109%</w:t>
            </w:r>
          </w:p>
        </w:tc>
        <w:tc>
          <w:tcPr>
            <w:tcW w:w="851" w:type="dxa"/>
            <w:noWrap/>
            <w:hideMark/>
          </w:tcPr>
          <w:p w:rsidR="00473C47" w:rsidRPr="00275308" w:rsidRDefault="00473C47" w:rsidP="00E42417">
            <w:pPr>
              <w:jc w:val="left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  <w:r w:rsidRPr="00275308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5" w:type="dxa"/>
            <w:noWrap/>
            <w:hideMark/>
          </w:tcPr>
          <w:p w:rsidR="00473C47" w:rsidRPr="00275308" w:rsidRDefault="00473C47" w:rsidP="00E42417">
            <w:pPr>
              <w:jc w:val="left"/>
              <w:rPr>
                <w:rFonts w:asciiTheme="minorBidi" w:hAnsiTheme="minorBidi" w:cstheme="minorBidi"/>
                <w:sz w:val="18"/>
                <w:szCs w:val="18"/>
              </w:rPr>
            </w:pPr>
            <w:r w:rsidRPr="00275308">
              <w:rPr>
                <w:rFonts w:asciiTheme="minorBidi" w:hAnsiTheme="minorBidi" w:cstheme="minorBidi"/>
                <w:sz w:val="18"/>
                <w:szCs w:val="18"/>
              </w:rPr>
              <w:t> </w:t>
            </w:r>
          </w:p>
        </w:tc>
        <w:tc>
          <w:tcPr>
            <w:tcW w:w="2693" w:type="dxa"/>
            <w:noWrap/>
            <w:hideMark/>
          </w:tcPr>
          <w:p w:rsidR="00473C47" w:rsidRPr="00275308" w:rsidRDefault="00473C47" w:rsidP="00E42417">
            <w:pPr>
              <w:jc w:val="left"/>
              <w:rPr>
                <w:rFonts w:asciiTheme="minorBidi" w:hAnsiTheme="minorBidi" w:cstheme="minorBidi"/>
                <w:sz w:val="18"/>
                <w:szCs w:val="18"/>
              </w:rPr>
            </w:pPr>
            <w:r w:rsidRPr="00275308">
              <w:rPr>
                <w:rFonts w:asciiTheme="minorBidi" w:hAnsiTheme="minorBidi" w:cstheme="minorBidi"/>
                <w:sz w:val="18"/>
                <w:szCs w:val="18"/>
              </w:rPr>
              <w:t> </w:t>
            </w:r>
          </w:p>
        </w:tc>
      </w:tr>
      <w:tr w:rsidR="00473C47" w:rsidRPr="00275308" w:rsidTr="001D342E">
        <w:trPr>
          <w:trHeight w:val="295"/>
        </w:trPr>
        <w:tc>
          <w:tcPr>
            <w:tcW w:w="2787" w:type="dxa"/>
            <w:noWrap/>
            <w:hideMark/>
          </w:tcPr>
          <w:p w:rsidR="00473C47" w:rsidRPr="00275308" w:rsidRDefault="00473C47" w:rsidP="00E42417">
            <w:pPr>
              <w:jc w:val="left"/>
              <w:rPr>
                <w:rFonts w:asciiTheme="minorBidi" w:hAnsiTheme="minorBidi" w:cstheme="minorBidi"/>
                <w:sz w:val="18"/>
                <w:szCs w:val="18"/>
              </w:rPr>
            </w:pPr>
            <w:r w:rsidRPr="00275308">
              <w:rPr>
                <w:rFonts w:asciiTheme="minorBidi" w:hAnsiTheme="minorBidi" w:cstheme="minorBidi"/>
                <w:sz w:val="18"/>
                <w:szCs w:val="18"/>
                <w:rtl/>
              </w:rPr>
              <w:t>חשיפה למט"ח</w:t>
            </w:r>
          </w:p>
        </w:tc>
        <w:tc>
          <w:tcPr>
            <w:tcW w:w="1134" w:type="dxa"/>
            <w:noWrap/>
            <w:hideMark/>
          </w:tcPr>
          <w:p w:rsidR="00473C47" w:rsidRPr="00275308" w:rsidRDefault="00473C47" w:rsidP="00E42417">
            <w:pPr>
              <w:jc w:val="left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 w:rsidRPr="00275308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22.73%</w:t>
            </w:r>
          </w:p>
        </w:tc>
        <w:tc>
          <w:tcPr>
            <w:tcW w:w="992" w:type="dxa"/>
            <w:noWrap/>
            <w:hideMark/>
          </w:tcPr>
          <w:p w:rsidR="00473C47" w:rsidRPr="00275308" w:rsidRDefault="00473C47" w:rsidP="00E42417">
            <w:pPr>
              <w:jc w:val="left"/>
              <w:rPr>
                <w:rFonts w:asciiTheme="minorBidi" w:hAnsiTheme="minorBidi" w:cstheme="minorBidi"/>
                <w:sz w:val="18"/>
                <w:szCs w:val="18"/>
              </w:rPr>
            </w:pPr>
            <w:r w:rsidRPr="00275308">
              <w:rPr>
                <w:rFonts w:asciiTheme="minorBidi" w:hAnsiTheme="minorBidi" w:cstheme="minorBidi"/>
                <w:sz w:val="18"/>
                <w:szCs w:val="18"/>
              </w:rPr>
              <w:t>19%</w:t>
            </w:r>
          </w:p>
        </w:tc>
        <w:tc>
          <w:tcPr>
            <w:tcW w:w="851" w:type="dxa"/>
            <w:noWrap/>
            <w:hideMark/>
          </w:tcPr>
          <w:p w:rsidR="00473C47" w:rsidRPr="00275308" w:rsidRDefault="00473C47" w:rsidP="00E42417">
            <w:pPr>
              <w:jc w:val="left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  <w:r w:rsidRPr="00275308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+/- 6%</w:t>
            </w:r>
          </w:p>
        </w:tc>
        <w:tc>
          <w:tcPr>
            <w:tcW w:w="1135" w:type="dxa"/>
            <w:noWrap/>
            <w:hideMark/>
          </w:tcPr>
          <w:p w:rsidR="00473C47" w:rsidRPr="00275308" w:rsidRDefault="00473C47" w:rsidP="00E42417">
            <w:pPr>
              <w:jc w:val="left"/>
              <w:rPr>
                <w:rFonts w:asciiTheme="minorBidi" w:hAnsiTheme="minorBidi" w:cstheme="minorBidi"/>
                <w:sz w:val="18"/>
                <w:szCs w:val="18"/>
              </w:rPr>
            </w:pPr>
            <w:r w:rsidRPr="00275308">
              <w:rPr>
                <w:rFonts w:asciiTheme="minorBidi" w:hAnsiTheme="minorBidi" w:cstheme="minorBidi"/>
                <w:sz w:val="18"/>
                <w:szCs w:val="18"/>
              </w:rPr>
              <w:t>13%-25%</w:t>
            </w:r>
          </w:p>
        </w:tc>
        <w:tc>
          <w:tcPr>
            <w:tcW w:w="2693" w:type="dxa"/>
            <w:noWrap/>
            <w:hideMark/>
          </w:tcPr>
          <w:p w:rsidR="00473C47" w:rsidRPr="00275308" w:rsidRDefault="00473C47" w:rsidP="00E42417">
            <w:pPr>
              <w:jc w:val="left"/>
              <w:rPr>
                <w:rFonts w:asciiTheme="minorBidi" w:hAnsiTheme="minorBidi" w:cstheme="minorBidi"/>
                <w:sz w:val="18"/>
                <w:szCs w:val="18"/>
              </w:rPr>
            </w:pPr>
            <w:r w:rsidRPr="00275308">
              <w:rPr>
                <w:rFonts w:asciiTheme="minorBidi" w:hAnsiTheme="minorBidi" w:cstheme="minorBidi"/>
                <w:sz w:val="18"/>
                <w:szCs w:val="18"/>
                <w:rtl/>
              </w:rPr>
              <w:t>70% דולר 30% אירו</w:t>
            </w:r>
          </w:p>
        </w:tc>
      </w:tr>
    </w:tbl>
    <w:p w:rsidR="0030698A" w:rsidRPr="00C41928" w:rsidRDefault="0030698A" w:rsidP="00473C47">
      <w:pPr>
        <w:pStyle w:val="a3"/>
        <w:spacing w:line="360" w:lineRule="auto"/>
        <w:rPr>
          <w:rFonts w:ascii="Arial Rounded MT Bold" w:hAnsi="Arial Rounded MT Bold" w:cs="David"/>
          <w:sz w:val="22"/>
          <w:szCs w:val="22"/>
          <w:rtl/>
        </w:rPr>
      </w:pPr>
    </w:p>
    <w:sectPr w:rsidR="0030698A" w:rsidRPr="00C41928" w:rsidSect="0030698A">
      <w:pgSz w:w="11906" w:h="16838"/>
      <w:pgMar w:top="964" w:right="1797" w:bottom="1134" w:left="179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Ruehl">
    <w:panose1 w:val="020E0503060101010101"/>
    <w:charset w:val="00"/>
    <w:family w:val="swiss"/>
    <w:pitch w:val="variable"/>
    <w:sig w:usb0="00000803" w:usb1="00000000" w:usb2="00000000" w:usb3="00000000" w:csb0="00000021" w:csb1="00000000"/>
  </w:font>
  <w:font w:name="Narkisim">
    <w:panose1 w:val="020E0502050101010101"/>
    <w:charset w:val="00"/>
    <w:family w:val="swiss"/>
    <w:pitch w:val="variable"/>
    <w:sig w:usb0="00000803" w:usb1="00000000" w:usb2="00000000" w:usb3="00000000" w:csb0="00000021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98A"/>
    <w:rsid w:val="00023514"/>
    <w:rsid w:val="00027FD7"/>
    <w:rsid w:val="0003138B"/>
    <w:rsid w:val="0005057B"/>
    <w:rsid w:val="00064391"/>
    <w:rsid w:val="00083E52"/>
    <w:rsid w:val="000A68B6"/>
    <w:rsid w:val="000F44B8"/>
    <w:rsid w:val="00153B26"/>
    <w:rsid w:val="001C7749"/>
    <w:rsid w:val="001D342E"/>
    <w:rsid w:val="00206496"/>
    <w:rsid w:val="002200E3"/>
    <w:rsid w:val="00245542"/>
    <w:rsid w:val="002A3BB9"/>
    <w:rsid w:val="002D0EED"/>
    <w:rsid w:val="0030698A"/>
    <w:rsid w:val="0037781C"/>
    <w:rsid w:val="003A6F88"/>
    <w:rsid w:val="003B60FE"/>
    <w:rsid w:val="003E5C76"/>
    <w:rsid w:val="00473C47"/>
    <w:rsid w:val="004A6FA4"/>
    <w:rsid w:val="004E2FBB"/>
    <w:rsid w:val="004E5024"/>
    <w:rsid w:val="00503580"/>
    <w:rsid w:val="00563CDB"/>
    <w:rsid w:val="00567A5A"/>
    <w:rsid w:val="005766C8"/>
    <w:rsid w:val="005905BC"/>
    <w:rsid w:val="00595CE0"/>
    <w:rsid w:val="005A35FC"/>
    <w:rsid w:val="005B19E8"/>
    <w:rsid w:val="005C2F68"/>
    <w:rsid w:val="005C4BFB"/>
    <w:rsid w:val="005C59DA"/>
    <w:rsid w:val="005E1BD1"/>
    <w:rsid w:val="00601D99"/>
    <w:rsid w:val="00633DA1"/>
    <w:rsid w:val="00641260"/>
    <w:rsid w:val="00665C0C"/>
    <w:rsid w:val="00671448"/>
    <w:rsid w:val="006800BE"/>
    <w:rsid w:val="006D1930"/>
    <w:rsid w:val="006E4C84"/>
    <w:rsid w:val="00711AE0"/>
    <w:rsid w:val="00722597"/>
    <w:rsid w:val="00722630"/>
    <w:rsid w:val="00762922"/>
    <w:rsid w:val="00782AD7"/>
    <w:rsid w:val="007A582B"/>
    <w:rsid w:val="007C714C"/>
    <w:rsid w:val="007E7E1E"/>
    <w:rsid w:val="00877E4D"/>
    <w:rsid w:val="008A3B64"/>
    <w:rsid w:val="008C1BCB"/>
    <w:rsid w:val="008E4FB8"/>
    <w:rsid w:val="008F7AFF"/>
    <w:rsid w:val="00900436"/>
    <w:rsid w:val="009067AE"/>
    <w:rsid w:val="00921E0A"/>
    <w:rsid w:val="00951EEC"/>
    <w:rsid w:val="009869F4"/>
    <w:rsid w:val="009E648F"/>
    <w:rsid w:val="00A17772"/>
    <w:rsid w:val="00A32BA5"/>
    <w:rsid w:val="00A46F73"/>
    <w:rsid w:val="00A5308C"/>
    <w:rsid w:val="00A80F7D"/>
    <w:rsid w:val="00A90752"/>
    <w:rsid w:val="00AB04D5"/>
    <w:rsid w:val="00AC132E"/>
    <w:rsid w:val="00AD4A4F"/>
    <w:rsid w:val="00B45F3F"/>
    <w:rsid w:val="00B90E47"/>
    <w:rsid w:val="00BD7C4F"/>
    <w:rsid w:val="00BE34DE"/>
    <w:rsid w:val="00BF0D90"/>
    <w:rsid w:val="00C1207E"/>
    <w:rsid w:val="00C54330"/>
    <w:rsid w:val="00CD4569"/>
    <w:rsid w:val="00D33D73"/>
    <w:rsid w:val="00D558F6"/>
    <w:rsid w:val="00D82E0E"/>
    <w:rsid w:val="00D86C79"/>
    <w:rsid w:val="00DB5AF6"/>
    <w:rsid w:val="00DB5C73"/>
    <w:rsid w:val="00DC6962"/>
    <w:rsid w:val="00DE57DE"/>
    <w:rsid w:val="00E56AF9"/>
    <w:rsid w:val="00EA1F77"/>
    <w:rsid w:val="00EA7D9E"/>
    <w:rsid w:val="00EC6F94"/>
    <w:rsid w:val="00EE46A6"/>
    <w:rsid w:val="00EE723E"/>
    <w:rsid w:val="00F1193A"/>
    <w:rsid w:val="00F7434D"/>
    <w:rsid w:val="00F926C5"/>
    <w:rsid w:val="00FD5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696486"/>
  <w15:docId w15:val="{3A644C79-3F8B-4D70-9E6D-E0A1709D0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98A"/>
    <w:pPr>
      <w:bidi/>
      <w:spacing w:after="0" w:line="240" w:lineRule="auto"/>
      <w:jc w:val="both"/>
    </w:pPr>
    <w:rPr>
      <w:rFonts w:ascii="Times New Roman" w:eastAsia="Times New Roman" w:hAnsi="Times New Roman" w:cs="FrankRuehl"/>
      <w:sz w:val="26"/>
      <w:szCs w:val="26"/>
      <w:lang w:eastAsia="he-I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0698A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rFonts w:cs="Narkisim"/>
      <w:b/>
      <w:bCs/>
      <w:sz w:val="20"/>
      <w:szCs w:val="24"/>
    </w:rPr>
  </w:style>
  <w:style w:type="character" w:customStyle="1" w:styleId="a4">
    <w:name w:val="כותרת עליונה תו"/>
    <w:basedOn w:val="a0"/>
    <w:link w:val="a3"/>
    <w:uiPriority w:val="99"/>
    <w:rsid w:val="0030698A"/>
    <w:rPr>
      <w:rFonts w:ascii="Times New Roman" w:eastAsia="Times New Roman" w:hAnsi="Times New Roman" w:cs="Narkisim"/>
      <w:b/>
      <w:bCs/>
      <w:sz w:val="20"/>
      <w:szCs w:val="24"/>
      <w:lang w:eastAsia="he-IL"/>
    </w:rPr>
  </w:style>
  <w:style w:type="table" w:styleId="a5">
    <w:name w:val="Table Grid"/>
    <w:basedOn w:val="a1"/>
    <w:uiPriority w:val="39"/>
    <w:rsid w:val="00473C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302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eWaveListOrderValue xmlns="http://schemas.microsoft.com/sharepoint/v3" xsi:nil="true"/>
    <Order1 xmlns="1ca4df27-5183-4bee-9dbd-0c46c9c4aa40" xsi:nil="true"/>
    <accessible xmlns="235a110c-d289-442f-85d9-ef2b9a18a57b">false</accessibl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מסמך" ma:contentTypeID="0x0101000EDB295D6E134840AE1B63C78AEF0BBA" ma:contentTypeVersion="4" ma:contentTypeDescription="צור מסמך חדש." ma:contentTypeScope="" ma:versionID="24fa62f16de07f6cf598d1d7e6ca9436">
  <xsd:schema xmlns:xsd="http://www.w3.org/2001/XMLSchema" xmlns:xs="http://www.w3.org/2001/XMLSchema" xmlns:p="http://schemas.microsoft.com/office/2006/metadata/properties" xmlns:ns1="http://schemas.microsoft.com/sharepoint/v3" xmlns:ns2="1ca4df27-5183-4bee-9dbd-0c46c9c4aa40" xmlns:ns3="235a110c-d289-442f-85d9-ef2b9a18a57b" targetNamespace="http://schemas.microsoft.com/office/2006/metadata/properties" ma:root="true" ma:fieldsID="275d0db90dc4b3765e6a6582220bcf4a" ns1:_="" ns2:_="" ns3:_="">
    <xsd:import namespace="http://schemas.microsoft.com/sharepoint/v3"/>
    <xsd:import namespace="1ca4df27-5183-4bee-9dbd-0c46c9c4aa40"/>
    <xsd:import namespace="235a110c-d289-442f-85d9-ef2b9a18a57b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eWaveListOrderValue" minOccurs="0"/>
                <xsd:element ref="ns2:Order1" minOccurs="0"/>
                <xsd:element ref="ns3:accessi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מתזמן תאריך התחלה" ma:description="'מתזמן תאריך התחלה' הוא עמודת אתר שיוצרת תכונת הפרסום. היא משמשת לציון התאריך והשעה שבהם יופיע הדף לראשונה בפני מבקרי האתר." ma:hidden="true" ma:internalName="PublishingStartDate">
      <xsd:simpleType>
        <xsd:restriction base="dms:Unknown"/>
      </xsd:simpleType>
    </xsd:element>
    <xsd:element name="PublishingExpirationDate" ma:index="9" nillable="true" ma:displayName="מתזמן תאריך סיום" ma:description="'תזמון תאריך הסיום' הוא עמודת אתר שיוצרת תכונת הפרסום. היא משמשת לציון התאריך והשעה שבהם הדף לא יופיע עוד בפני מבקרי האתר." ma:hidden="true" ma:internalName="PublishingExpirationDate">
      <xsd:simpleType>
        <xsd:restriction base="dms:Unknown"/>
      </xsd:simpleType>
    </xsd:element>
    <xsd:element name="eWaveListOrderValue" ma:index="10" nillable="true" ma:displayName="סידור" ma:decimals="2" ma:internalName="eWaveListOrderValue" ma:readOnly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a4df27-5183-4bee-9dbd-0c46c9c4aa40" elementFormDefault="qualified">
    <xsd:import namespace="http://schemas.microsoft.com/office/2006/documentManagement/types"/>
    <xsd:import namespace="http://schemas.microsoft.com/office/infopath/2007/PartnerControls"/>
    <xsd:element name="Order1" ma:index="11" nillable="true" ma:displayName="Order" ma:internalName="Order1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5a110c-d289-442f-85d9-ef2b9a18a57b" elementFormDefault="qualified">
    <xsd:import namespace="http://schemas.microsoft.com/office/2006/documentManagement/types"/>
    <xsd:import namespace="http://schemas.microsoft.com/office/infopath/2007/PartnerControls"/>
    <xsd:element name="accessible" ma:index="12" nillable="true" ma:displayName="accessible" ma:default="0" ma:description="הנגשה" ma:internalName="accessi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סוג תוכן"/>
        <xsd:element ref="dc:title" minOccurs="0" maxOccurs="1" ma:index="4" ma:displayName="כותרת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4D1B7B-2469-4923-A810-89A77FB6680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E8DA547C-F567-463D-959A-F29F0C3EA3BA}"/>
</file>

<file path=customXml/itemProps3.xml><?xml version="1.0" encoding="utf-8"?>
<ds:datastoreItem xmlns:ds="http://schemas.openxmlformats.org/officeDocument/2006/customXml" ds:itemID="{1454A319-5B60-4142-B7F8-854B3771E0A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350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>ריכוז פרטיים כלליים על הכשרה לבני 50 ומטה042017</vt:lpstr>
    </vt:vector>
  </TitlesOfParts>
  <Company/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ריכוז פרטיים כלליים על הכשרה לבני 50 ומטה 042020</dc:title>
  <dc:creator>עוז סגל</dc:creator>
  <cp:lastModifiedBy>ליזה שלו</cp:lastModifiedBy>
  <cp:revision>99</cp:revision>
  <dcterms:created xsi:type="dcterms:W3CDTF">2019-06-11T13:40:00Z</dcterms:created>
  <dcterms:modified xsi:type="dcterms:W3CDTF">2021-06-07T07:44:00Z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0x0101000EDB295D6E134840AE1B63C78AEF0BBA</vt:lpwstr>
  </property>
</Properties>
</file>